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4688" w14:textId="77777777" w:rsidR="00142A39" w:rsidRPr="00623982" w:rsidRDefault="00142A39" w:rsidP="00142A39">
      <w:pPr>
        <w:tabs>
          <w:tab w:val="left" w:pos="4092"/>
        </w:tabs>
        <w:spacing w:after="0" w:line="240" w:lineRule="auto"/>
        <w:jc w:val="center"/>
        <w:rPr>
          <w:rFonts w:ascii="Times New Roman" w:hAnsi="Times New Roman" w:cs="Times New Roman"/>
          <w:b/>
          <w:sz w:val="24"/>
          <w:szCs w:val="24"/>
        </w:rPr>
      </w:pPr>
      <w:r w:rsidRPr="00623982">
        <w:rPr>
          <w:rFonts w:ascii="Times New Roman" w:hAnsi="Times New Roman" w:cs="Times New Roman"/>
          <w:b/>
          <w:sz w:val="24"/>
          <w:szCs w:val="24"/>
        </w:rPr>
        <w:t>SUPREME COURT OF SEYCHELLES</w:t>
      </w:r>
    </w:p>
    <w:p w14:paraId="5EC6B4C8" w14:textId="77777777" w:rsidR="00142A39" w:rsidRPr="00623982" w:rsidRDefault="00142A39" w:rsidP="00142A39">
      <w:pPr>
        <w:pBdr>
          <w:bottom w:val="single" w:sz="4" w:space="1" w:color="auto"/>
        </w:pBdr>
        <w:tabs>
          <w:tab w:val="left" w:pos="4092"/>
        </w:tabs>
        <w:spacing w:line="240" w:lineRule="auto"/>
        <w:jc w:val="center"/>
        <w:rPr>
          <w:rFonts w:ascii="Times New Roman" w:hAnsi="Times New Roman" w:cs="Times New Roman"/>
          <w:b/>
          <w:sz w:val="24"/>
          <w:szCs w:val="24"/>
        </w:rPr>
      </w:pPr>
    </w:p>
    <w:p w14:paraId="081253A5" w14:textId="77777777" w:rsidR="00142A39" w:rsidRPr="00623982" w:rsidRDefault="00142A39" w:rsidP="00142A39">
      <w:pPr>
        <w:spacing w:after="0" w:line="240" w:lineRule="auto"/>
        <w:ind w:left="5580"/>
        <w:rPr>
          <w:rFonts w:ascii="Times New Roman" w:hAnsi="Times New Roman" w:cs="Times New Roman"/>
          <w:b/>
          <w:sz w:val="24"/>
          <w:szCs w:val="24"/>
          <w:u w:val="single"/>
        </w:rPr>
      </w:pPr>
      <w:r w:rsidRPr="00623982">
        <w:rPr>
          <w:rFonts w:ascii="Times New Roman" w:hAnsi="Times New Roman" w:cs="Times New Roman"/>
          <w:b/>
          <w:sz w:val="24"/>
          <w:szCs w:val="24"/>
          <w:u w:val="single"/>
        </w:rPr>
        <w:t>Reportable</w:t>
      </w:r>
    </w:p>
    <w:p w14:paraId="421FA580" w14:textId="77777777" w:rsidR="00142A39" w:rsidRPr="00623982" w:rsidRDefault="00142A39" w:rsidP="00142A39">
      <w:pPr>
        <w:spacing w:after="0" w:line="240" w:lineRule="auto"/>
        <w:ind w:left="5580"/>
        <w:rPr>
          <w:rFonts w:ascii="Times New Roman" w:hAnsi="Times New Roman" w:cs="Times New Roman"/>
          <w:sz w:val="24"/>
          <w:szCs w:val="24"/>
        </w:rPr>
      </w:pPr>
      <w:r w:rsidRPr="00623982">
        <w:rPr>
          <w:rFonts w:ascii="Times New Roman" w:hAnsi="Times New Roman" w:cs="Times New Roman"/>
          <w:sz w:val="24"/>
          <w:szCs w:val="24"/>
        </w:rPr>
        <w:t xml:space="preserve">[2024] </w:t>
      </w:r>
    </w:p>
    <w:p w14:paraId="531D010E" w14:textId="77777777" w:rsidR="00142A39" w:rsidRPr="00623982" w:rsidRDefault="00142A39" w:rsidP="00142A39">
      <w:pPr>
        <w:spacing w:after="0" w:line="240" w:lineRule="auto"/>
        <w:ind w:left="5580"/>
        <w:rPr>
          <w:rFonts w:ascii="Times New Roman" w:hAnsi="Times New Roman" w:cs="Times New Roman"/>
          <w:sz w:val="24"/>
          <w:szCs w:val="24"/>
        </w:rPr>
      </w:pPr>
      <w:r w:rsidRPr="00623982">
        <w:rPr>
          <w:rFonts w:ascii="Times New Roman" w:hAnsi="Times New Roman" w:cs="Times New Roman"/>
          <w:sz w:val="24"/>
          <w:szCs w:val="24"/>
        </w:rPr>
        <w:t>CO 04/2022</w:t>
      </w:r>
    </w:p>
    <w:p w14:paraId="1ABE62F6" w14:textId="77777777" w:rsidR="00142A39" w:rsidRPr="00623982" w:rsidRDefault="00142A39" w:rsidP="00142A39">
      <w:pPr>
        <w:tabs>
          <w:tab w:val="left" w:pos="540"/>
          <w:tab w:val="left" w:pos="4092"/>
        </w:tabs>
        <w:spacing w:after="0" w:line="240" w:lineRule="auto"/>
        <w:rPr>
          <w:rFonts w:ascii="Times New Roman" w:hAnsi="Times New Roman" w:cs="Times New Roman"/>
          <w:sz w:val="24"/>
          <w:szCs w:val="24"/>
        </w:rPr>
      </w:pPr>
      <w:r w:rsidRPr="00623982">
        <w:rPr>
          <w:rFonts w:ascii="Times New Roman" w:hAnsi="Times New Roman" w:cs="Times New Roman"/>
          <w:sz w:val="24"/>
          <w:szCs w:val="24"/>
        </w:rPr>
        <w:t>In the matter between:</w:t>
      </w:r>
    </w:p>
    <w:p w14:paraId="14E727EC" w14:textId="77777777" w:rsidR="00142A39" w:rsidRPr="00623982" w:rsidRDefault="00142A39" w:rsidP="00142A39">
      <w:pPr>
        <w:pStyle w:val="Partynames"/>
      </w:pPr>
      <w:r w:rsidRPr="00623982">
        <w:t>THE REPUBLIC</w:t>
      </w:r>
      <w:r w:rsidRPr="00623982">
        <w:tab/>
        <w:t>Republic</w:t>
      </w:r>
    </w:p>
    <w:p w14:paraId="02F35730" w14:textId="77777777" w:rsidR="00142A39" w:rsidRPr="00623982" w:rsidRDefault="00142A39" w:rsidP="00142A39">
      <w:pPr>
        <w:pStyle w:val="Attorneysnames"/>
      </w:pPr>
      <w:r w:rsidRPr="00623982">
        <w:t>(rep. by S Powles)</w:t>
      </w:r>
    </w:p>
    <w:p w14:paraId="4C6486BB" w14:textId="77777777" w:rsidR="00142A39" w:rsidRPr="00623982" w:rsidRDefault="00142A39" w:rsidP="00142A39">
      <w:pPr>
        <w:tabs>
          <w:tab w:val="left" w:pos="540"/>
          <w:tab w:val="left" w:pos="4092"/>
          <w:tab w:val="left" w:pos="5580"/>
        </w:tabs>
        <w:spacing w:after="0" w:line="240" w:lineRule="auto"/>
        <w:rPr>
          <w:rFonts w:ascii="Times New Roman" w:hAnsi="Times New Roman" w:cs="Times New Roman"/>
          <w:sz w:val="24"/>
          <w:szCs w:val="24"/>
        </w:rPr>
      </w:pPr>
    </w:p>
    <w:p w14:paraId="479199EA" w14:textId="77777777" w:rsidR="00142A39" w:rsidRPr="00623982" w:rsidRDefault="00142A39" w:rsidP="00142A39">
      <w:pPr>
        <w:tabs>
          <w:tab w:val="left" w:pos="540"/>
          <w:tab w:val="left" w:pos="4092"/>
          <w:tab w:val="left" w:pos="5580"/>
        </w:tabs>
        <w:spacing w:after="0" w:line="240" w:lineRule="auto"/>
        <w:rPr>
          <w:rFonts w:ascii="Times New Roman" w:hAnsi="Times New Roman" w:cs="Times New Roman"/>
          <w:sz w:val="24"/>
          <w:szCs w:val="24"/>
        </w:rPr>
      </w:pPr>
      <w:r w:rsidRPr="00623982">
        <w:rPr>
          <w:rFonts w:ascii="Times New Roman" w:hAnsi="Times New Roman" w:cs="Times New Roman"/>
          <w:sz w:val="24"/>
          <w:szCs w:val="24"/>
        </w:rPr>
        <w:t>and</w:t>
      </w:r>
    </w:p>
    <w:p w14:paraId="37CA78A8" w14:textId="77777777" w:rsidR="00142A39" w:rsidRPr="00623982" w:rsidRDefault="00142A39" w:rsidP="00142A39">
      <w:pPr>
        <w:pStyle w:val="Partynames"/>
      </w:pPr>
      <w:r w:rsidRPr="00623982">
        <w:t>MUKESH VALABHJI</w:t>
      </w:r>
      <w:r w:rsidRPr="00623982">
        <w:tab/>
        <w:t>1</w:t>
      </w:r>
      <w:r w:rsidRPr="00623982">
        <w:rPr>
          <w:vertAlign w:val="superscript"/>
        </w:rPr>
        <w:t>st</w:t>
      </w:r>
      <w:r w:rsidRPr="00623982">
        <w:t xml:space="preserve"> Accused</w:t>
      </w:r>
    </w:p>
    <w:p w14:paraId="6D8385EB" w14:textId="77777777" w:rsidR="00142A39" w:rsidRPr="00623982" w:rsidRDefault="00142A39" w:rsidP="00142A39">
      <w:pPr>
        <w:tabs>
          <w:tab w:val="left" w:pos="540"/>
          <w:tab w:val="left" w:pos="4092"/>
        </w:tabs>
        <w:spacing w:after="0" w:line="240" w:lineRule="auto"/>
        <w:rPr>
          <w:rFonts w:ascii="Times New Roman" w:hAnsi="Times New Roman" w:cs="Times New Roman"/>
          <w:i/>
          <w:sz w:val="24"/>
          <w:szCs w:val="24"/>
        </w:rPr>
      </w:pPr>
      <w:r w:rsidRPr="00623982">
        <w:rPr>
          <w:rFonts w:ascii="Times New Roman" w:hAnsi="Times New Roman" w:cs="Times New Roman"/>
          <w:i/>
          <w:sz w:val="24"/>
          <w:szCs w:val="24"/>
        </w:rPr>
        <w:t>(rep. by J Lewis and ors)</w:t>
      </w:r>
    </w:p>
    <w:p w14:paraId="69B56DBF" w14:textId="77777777" w:rsidR="00142A39" w:rsidRPr="00623982" w:rsidRDefault="00142A39" w:rsidP="00142A39">
      <w:pPr>
        <w:pStyle w:val="Partynames"/>
      </w:pPr>
      <w:r w:rsidRPr="00623982">
        <w:t>LAURA VALABHJI</w:t>
      </w:r>
      <w:r w:rsidRPr="00623982">
        <w:tab/>
        <w:t>2</w:t>
      </w:r>
      <w:r w:rsidRPr="00623982">
        <w:rPr>
          <w:vertAlign w:val="superscript"/>
        </w:rPr>
        <w:t>nd</w:t>
      </w:r>
      <w:r w:rsidRPr="00623982">
        <w:t xml:space="preserve"> Accused</w:t>
      </w:r>
    </w:p>
    <w:p w14:paraId="70402F72" w14:textId="77777777" w:rsidR="00142A39" w:rsidRPr="00623982" w:rsidRDefault="00142A39" w:rsidP="00142A39">
      <w:pPr>
        <w:tabs>
          <w:tab w:val="left" w:pos="540"/>
          <w:tab w:val="left" w:pos="4092"/>
        </w:tabs>
        <w:spacing w:after="0" w:line="240" w:lineRule="auto"/>
        <w:rPr>
          <w:rFonts w:ascii="Times New Roman" w:hAnsi="Times New Roman" w:cs="Times New Roman"/>
          <w:i/>
          <w:sz w:val="24"/>
          <w:szCs w:val="24"/>
        </w:rPr>
      </w:pPr>
      <w:r w:rsidRPr="00623982">
        <w:rPr>
          <w:rFonts w:ascii="Times New Roman" w:hAnsi="Times New Roman" w:cs="Times New Roman"/>
          <w:i/>
          <w:sz w:val="24"/>
          <w:szCs w:val="24"/>
        </w:rPr>
        <w:t>(re. by R Scott and ors)</w:t>
      </w:r>
    </w:p>
    <w:p w14:paraId="69691A4E" w14:textId="77777777" w:rsidR="00142A39" w:rsidRPr="00623982" w:rsidRDefault="00142A39" w:rsidP="00142A39">
      <w:pPr>
        <w:pStyle w:val="Partynames"/>
      </w:pPr>
      <w:r w:rsidRPr="00623982">
        <w:t>LESLIE BENOITON</w:t>
      </w:r>
      <w:r w:rsidRPr="00623982">
        <w:tab/>
        <w:t>3</w:t>
      </w:r>
      <w:r w:rsidRPr="00623982">
        <w:rPr>
          <w:vertAlign w:val="superscript"/>
        </w:rPr>
        <w:t>rd</w:t>
      </w:r>
      <w:r w:rsidRPr="00623982">
        <w:t xml:space="preserve"> Accused</w:t>
      </w:r>
    </w:p>
    <w:p w14:paraId="0022FFC7" w14:textId="77777777" w:rsidR="00142A39" w:rsidRPr="00623982" w:rsidRDefault="00142A39" w:rsidP="00142A39">
      <w:pPr>
        <w:tabs>
          <w:tab w:val="left" w:pos="540"/>
          <w:tab w:val="left" w:pos="4092"/>
        </w:tabs>
        <w:spacing w:after="0" w:line="240" w:lineRule="auto"/>
        <w:rPr>
          <w:rFonts w:ascii="Times New Roman" w:hAnsi="Times New Roman" w:cs="Times New Roman"/>
          <w:i/>
          <w:sz w:val="24"/>
          <w:szCs w:val="24"/>
        </w:rPr>
      </w:pPr>
      <w:r w:rsidRPr="00623982">
        <w:rPr>
          <w:rFonts w:ascii="Times New Roman" w:hAnsi="Times New Roman" w:cs="Times New Roman"/>
          <w:i/>
          <w:sz w:val="24"/>
          <w:szCs w:val="24"/>
        </w:rPr>
        <w:t>(rep. by B Hoareau)</w:t>
      </w:r>
    </w:p>
    <w:p w14:paraId="59BB15D0" w14:textId="77777777" w:rsidR="00142A39" w:rsidRPr="00623982" w:rsidRDefault="00142A39" w:rsidP="00142A39">
      <w:pPr>
        <w:pStyle w:val="Partynames"/>
      </w:pPr>
      <w:r w:rsidRPr="00623982">
        <w:t>LEOPOLD PAYET</w:t>
      </w:r>
      <w:r w:rsidRPr="00623982">
        <w:tab/>
        <w:t>4</w:t>
      </w:r>
      <w:r w:rsidRPr="00623982">
        <w:rPr>
          <w:vertAlign w:val="superscript"/>
        </w:rPr>
        <w:t>th</w:t>
      </w:r>
      <w:r w:rsidRPr="00623982">
        <w:t xml:space="preserve"> Accused</w:t>
      </w:r>
    </w:p>
    <w:p w14:paraId="79409FF5" w14:textId="77777777" w:rsidR="00142A39" w:rsidRPr="00623982" w:rsidRDefault="00142A39" w:rsidP="00142A39">
      <w:pPr>
        <w:tabs>
          <w:tab w:val="left" w:pos="540"/>
          <w:tab w:val="left" w:pos="4092"/>
        </w:tabs>
        <w:spacing w:after="0" w:line="240" w:lineRule="auto"/>
        <w:rPr>
          <w:rFonts w:ascii="Times New Roman" w:hAnsi="Times New Roman" w:cs="Times New Roman"/>
          <w:i/>
          <w:sz w:val="24"/>
          <w:szCs w:val="24"/>
        </w:rPr>
      </w:pPr>
      <w:r w:rsidRPr="00623982">
        <w:rPr>
          <w:rFonts w:ascii="Times New Roman" w:hAnsi="Times New Roman" w:cs="Times New Roman"/>
          <w:i/>
          <w:sz w:val="24"/>
          <w:szCs w:val="24"/>
        </w:rPr>
        <w:t>(rep. by J Camille)</w:t>
      </w:r>
    </w:p>
    <w:p w14:paraId="3F456899" w14:textId="77777777" w:rsidR="00142A39" w:rsidRPr="00623982" w:rsidRDefault="00142A39" w:rsidP="00142A39">
      <w:pPr>
        <w:pStyle w:val="Partynames"/>
      </w:pPr>
      <w:r w:rsidRPr="00623982">
        <w:t>FRANK MARIE</w:t>
      </w:r>
      <w:r w:rsidRPr="00623982">
        <w:tab/>
        <w:t>5</w:t>
      </w:r>
      <w:r w:rsidRPr="00623982">
        <w:rPr>
          <w:vertAlign w:val="superscript"/>
        </w:rPr>
        <w:t>th</w:t>
      </w:r>
      <w:r w:rsidRPr="00623982">
        <w:t xml:space="preserve"> Accused</w:t>
      </w:r>
    </w:p>
    <w:p w14:paraId="64CA9351" w14:textId="77777777" w:rsidR="00142A39" w:rsidRPr="00623982" w:rsidRDefault="00142A39" w:rsidP="00142A39">
      <w:pPr>
        <w:tabs>
          <w:tab w:val="left" w:pos="540"/>
          <w:tab w:val="left" w:pos="4092"/>
        </w:tabs>
        <w:spacing w:after="0" w:line="240" w:lineRule="auto"/>
        <w:rPr>
          <w:rFonts w:ascii="Times New Roman" w:hAnsi="Times New Roman" w:cs="Times New Roman"/>
          <w:i/>
          <w:sz w:val="24"/>
          <w:szCs w:val="24"/>
        </w:rPr>
      </w:pPr>
      <w:r w:rsidRPr="00623982">
        <w:rPr>
          <w:rFonts w:ascii="Times New Roman" w:hAnsi="Times New Roman" w:cs="Times New Roman"/>
          <w:i/>
          <w:sz w:val="24"/>
          <w:szCs w:val="24"/>
        </w:rPr>
        <w:t>(rep. by J Camille )</w:t>
      </w:r>
    </w:p>
    <w:p w14:paraId="4A826D2E" w14:textId="77777777" w:rsidR="00142A39" w:rsidRPr="00623982" w:rsidRDefault="00142A39" w:rsidP="00142A39">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8A366FD" w14:textId="77777777" w:rsidR="00142A39" w:rsidRPr="00623982" w:rsidRDefault="00142A39" w:rsidP="00142A39">
      <w:pPr>
        <w:spacing w:after="0" w:line="240" w:lineRule="auto"/>
        <w:ind w:left="1886" w:hanging="1886"/>
        <w:rPr>
          <w:rFonts w:ascii="Times New Roman" w:hAnsi="Times New Roman" w:cs="Times New Roman"/>
          <w:sz w:val="24"/>
          <w:szCs w:val="24"/>
        </w:rPr>
      </w:pPr>
      <w:r w:rsidRPr="00623982">
        <w:rPr>
          <w:rFonts w:ascii="Times New Roman" w:hAnsi="Times New Roman" w:cs="Times New Roman"/>
          <w:b/>
          <w:sz w:val="24"/>
          <w:szCs w:val="24"/>
        </w:rPr>
        <w:lastRenderedPageBreak/>
        <w:t>Neutral Citation:</w:t>
      </w:r>
      <w:r w:rsidRPr="00623982">
        <w:rPr>
          <w:rFonts w:ascii="Times New Roman" w:hAnsi="Times New Roman" w:cs="Times New Roman"/>
          <w:sz w:val="24"/>
          <w:szCs w:val="24"/>
        </w:rPr>
        <w:tab/>
      </w:r>
      <w:r w:rsidRPr="00623982">
        <w:rPr>
          <w:rFonts w:ascii="Times New Roman" w:hAnsi="Times New Roman" w:cs="Times New Roman"/>
          <w:i/>
          <w:sz w:val="24"/>
          <w:szCs w:val="24"/>
        </w:rPr>
        <w:t xml:space="preserve">The Republic v Valabhji &amp; Ors </w:t>
      </w:r>
      <w:r w:rsidRPr="00623982">
        <w:rPr>
          <w:rFonts w:ascii="Times New Roman" w:hAnsi="Times New Roman" w:cs="Times New Roman"/>
          <w:sz w:val="24"/>
          <w:szCs w:val="24"/>
        </w:rPr>
        <w:t xml:space="preserve">(CO 04/2022) [2024] ( </w:t>
      </w:r>
      <w:bookmarkStart w:id="0" w:name="_GoBack"/>
      <w:bookmarkEnd w:id="0"/>
      <w:r w:rsidRPr="00623982">
        <w:rPr>
          <w:rFonts w:ascii="Times New Roman" w:hAnsi="Times New Roman" w:cs="Times New Roman"/>
          <w:sz w:val="24"/>
          <w:szCs w:val="24"/>
        </w:rPr>
        <w:t xml:space="preserve">   March 2024)</w:t>
      </w:r>
    </w:p>
    <w:p w14:paraId="7FB2B340" w14:textId="7C000DF9" w:rsidR="00142A39" w:rsidRPr="00623982" w:rsidRDefault="00142A39" w:rsidP="00142A39">
      <w:pPr>
        <w:spacing w:after="0" w:line="240" w:lineRule="auto"/>
        <w:ind w:left="1886" w:hanging="1886"/>
        <w:rPr>
          <w:rFonts w:ascii="Times New Roman" w:hAnsi="Times New Roman" w:cs="Times New Roman"/>
          <w:sz w:val="24"/>
          <w:szCs w:val="24"/>
        </w:rPr>
      </w:pPr>
      <w:r w:rsidRPr="00623982">
        <w:rPr>
          <w:rFonts w:ascii="Times New Roman" w:hAnsi="Times New Roman" w:cs="Times New Roman"/>
          <w:b/>
          <w:sz w:val="24"/>
          <w:szCs w:val="24"/>
        </w:rPr>
        <w:t>Summary:</w:t>
      </w:r>
      <w:r w:rsidRPr="00623982">
        <w:rPr>
          <w:rFonts w:ascii="Times New Roman" w:hAnsi="Times New Roman" w:cs="Times New Roman"/>
          <w:b/>
          <w:sz w:val="24"/>
          <w:szCs w:val="24"/>
        </w:rPr>
        <w:tab/>
      </w:r>
      <w:r>
        <w:rPr>
          <w:rFonts w:ascii="Times New Roman" w:hAnsi="Times New Roman" w:cs="Times New Roman"/>
          <w:sz w:val="24"/>
          <w:szCs w:val="24"/>
        </w:rPr>
        <w:t>Admissibility of documents from electronic devices; the Best evidence Rule and chain of evidence</w:t>
      </w:r>
    </w:p>
    <w:p w14:paraId="05939910" w14:textId="77777777" w:rsidR="00142A39" w:rsidRPr="00623982" w:rsidRDefault="00142A39" w:rsidP="00142A39">
      <w:pPr>
        <w:spacing w:after="0" w:line="240" w:lineRule="auto"/>
        <w:ind w:left="1890" w:hanging="1890"/>
        <w:rPr>
          <w:rFonts w:ascii="Times New Roman" w:hAnsi="Times New Roman" w:cs="Times New Roman"/>
          <w:sz w:val="24"/>
          <w:szCs w:val="24"/>
        </w:rPr>
      </w:pPr>
      <w:r w:rsidRPr="00623982">
        <w:rPr>
          <w:rFonts w:ascii="Times New Roman" w:hAnsi="Times New Roman" w:cs="Times New Roman"/>
          <w:b/>
          <w:sz w:val="24"/>
          <w:szCs w:val="24"/>
        </w:rPr>
        <w:t xml:space="preserve">Before: </w:t>
      </w:r>
      <w:r w:rsidRPr="00623982">
        <w:rPr>
          <w:rFonts w:ascii="Times New Roman" w:hAnsi="Times New Roman" w:cs="Times New Roman"/>
          <w:b/>
          <w:sz w:val="24"/>
          <w:szCs w:val="24"/>
        </w:rPr>
        <w:tab/>
      </w:r>
      <w:r w:rsidRPr="00623982">
        <w:rPr>
          <w:rFonts w:ascii="Times New Roman" w:hAnsi="Times New Roman" w:cs="Times New Roman"/>
          <w:sz w:val="24"/>
          <w:szCs w:val="24"/>
        </w:rPr>
        <w:t>Govinden CJ</w:t>
      </w:r>
    </w:p>
    <w:p w14:paraId="0A63A334" w14:textId="77777777" w:rsidR="00142A39" w:rsidRPr="00623982" w:rsidRDefault="00142A39" w:rsidP="00142A39">
      <w:pPr>
        <w:spacing w:after="0" w:line="240" w:lineRule="auto"/>
        <w:ind w:left="1890" w:hanging="1890"/>
        <w:rPr>
          <w:rFonts w:ascii="Times New Roman" w:hAnsi="Times New Roman" w:cs="Times New Roman"/>
          <w:sz w:val="24"/>
          <w:szCs w:val="24"/>
        </w:rPr>
      </w:pPr>
      <w:r w:rsidRPr="00623982">
        <w:rPr>
          <w:rFonts w:ascii="Times New Roman" w:hAnsi="Times New Roman" w:cs="Times New Roman"/>
          <w:b/>
          <w:sz w:val="24"/>
          <w:szCs w:val="24"/>
        </w:rPr>
        <w:t xml:space="preserve">Heard: </w:t>
      </w:r>
      <w:r>
        <w:rPr>
          <w:rFonts w:ascii="Times New Roman" w:hAnsi="Times New Roman" w:cs="Times New Roman"/>
          <w:sz w:val="24"/>
          <w:szCs w:val="24"/>
        </w:rPr>
        <w:t xml:space="preserve">                  27 February 2024</w:t>
      </w:r>
      <w:r w:rsidRPr="00623982">
        <w:rPr>
          <w:rFonts w:ascii="Times New Roman" w:hAnsi="Times New Roman" w:cs="Times New Roman"/>
          <w:sz w:val="24"/>
          <w:szCs w:val="24"/>
        </w:rPr>
        <w:tab/>
      </w:r>
    </w:p>
    <w:p w14:paraId="2B78B1B2" w14:textId="72F8AC16" w:rsidR="00142A39" w:rsidRPr="00623982" w:rsidRDefault="00142A39" w:rsidP="00142A39">
      <w:pPr>
        <w:spacing w:after="0" w:line="240" w:lineRule="auto"/>
        <w:ind w:left="1890" w:hanging="1890"/>
        <w:rPr>
          <w:rFonts w:ascii="Times New Roman" w:hAnsi="Times New Roman" w:cs="Times New Roman"/>
          <w:sz w:val="24"/>
          <w:szCs w:val="24"/>
        </w:rPr>
      </w:pPr>
      <w:r w:rsidRPr="00623982">
        <w:rPr>
          <w:rFonts w:ascii="Times New Roman" w:hAnsi="Times New Roman" w:cs="Times New Roman"/>
          <w:b/>
          <w:sz w:val="24"/>
          <w:szCs w:val="24"/>
        </w:rPr>
        <w:t>Delivered:</w:t>
      </w:r>
      <w:r>
        <w:rPr>
          <w:rFonts w:ascii="Times New Roman" w:hAnsi="Times New Roman" w:cs="Times New Roman"/>
          <w:b/>
          <w:sz w:val="24"/>
          <w:szCs w:val="24"/>
        </w:rPr>
        <w:t xml:space="preserve">             </w:t>
      </w:r>
      <w:r w:rsidR="00DD6636">
        <w:rPr>
          <w:rFonts w:ascii="Times New Roman" w:hAnsi="Times New Roman" w:cs="Times New Roman"/>
          <w:sz w:val="24"/>
          <w:szCs w:val="24"/>
        </w:rPr>
        <w:t>19</w:t>
      </w:r>
      <w:r w:rsidR="00F844C6" w:rsidRPr="003B43D8">
        <w:rPr>
          <w:rFonts w:ascii="Times New Roman" w:hAnsi="Times New Roman" w:cs="Times New Roman"/>
          <w:sz w:val="24"/>
          <w:szCs w:val="24"/>
        </w:rPr>
        <w:t xml:space="preserve"> </w:t>
      </w:r>
      <w:r w:rsidRPr="003B43D8">
        <w:rPr>
          <w:rFonts w:ascii="Times New Roman" w:hAnsi="Times New Roman" w:cs="Times New Roman"/>
          <w:sz w:val="24"/>
          <w:szCs w:val="24"/>
        </w:rPr>
        <w:t>March 2024</w:t>
      </w:r>
      <w:r w:rsidRPr="003B43D8">
        <w:rPr>
          <w:rFonts w:ascii="Times New Roman" w:hAnsi="Times New Roman" w:cs="Times New Roman"/>
          <w:sz w:val="24"/>
          <w:szCs w:val="24"/>
        </w:rPr>
        <w:tab/>
      </w:r>
      <w:r w:rsidRPr="00623982">
        <w:rPr>
          <w:rFonts w:ascii="Times New Roman" w:hAnsi="Times New Roman" w:cs="Times New Roman"/>
          <w:sz w:val="24"/>
          <w:szCs w:val="24"/>
        </w:rPr>
        <w:t xml:space="preserve">    </w:t>
      </w:r>
    </w:p>
    <w:p w14:paraId="5045CF28" w14:textId="77777777" w:rsidR="00142A39" w:rsidRPr="00623982" w:rsidRDefault="00142A39" w:rsidP="00142A39">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2129150A" w14:textId="77777777" w:rsidR="00142A39" w:rsidRPr="0053117D" w:rsidRDefault="00142A39" w:rsidP="00142A39">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623982">
        <w:rPr>
          <w:rFonts w:ascii="Times New Roman" w:hAnsi="Times New Roman" w:cs="Times New Roman"/>
          <w:b/>
          <w:sz w:val="24"/>
          <w:szCs w:val="24"/>
        </w:rPr>
        <w:t>RULING</w:t>
      </w:r>
      <w:r w:rsidRPr="00623982">
        <w:rPr>
          <w:rFonts w:ascii="Times New Roman" w:hAnsi="Times New Roman" w:cs="Times New Roman"/>
          <w:b/>
          <w:sz w:val="24"/>
          <w:szCs w:val="24"/>
        </w:rPr>
        <w:br/>
      </w:r>
    </w:p>
    <w:p w14:paraId="4018DC80" w14:textId="77777777" w:rsidR="00142A39" w:rsidRPr="00F844C6" w:rsidRDefault="00142A39" w:rsidP="00142A39">
      <w:pPr>
        <w:pStyle w:val="JudgmentText"/>
        <w:numPr>
          <w:ilvl w:val="0"/>
          <w:numId w:val="0"/>
        </w:numPr>
        <w:spacing w:before="240" w:after="0" w:line="480" w:lineRule="auto"/>
        <w:rPr>
          <w:b/>
        </w:rPr>
      </w:pPr>
      <w:r w:rsidRPr="00F844C6">
        <w:rPr>
          <w:b/>
        </w:rPr>
        <w:t xml:space="preserve">GOVINDEN CJ </w:t>
      </w:r>
    </w:p>
    <w:p w14:paraId="14CFF95D" w14:textId="71A414BF" w:rsidR="00F844C6" w:rsidRDefault="00621828" w:rsidP="001A0023">
      <w:pPr>
        <w:pStyle w:val="JudgmentText"/>
        <w:numPr>
          <w:ilvl w:val="0"/>
          <w:numId w:val="3"/>
        </w:numPr>
        <w:tabs>
          <w:tab w:val="left" w:pos="720"/>
        </w:tabs>
      </w:pPr>
      <w:r w:rsidRPr="00F844C6">
        <w:t>The Defence are objecting to the admissibility of one pendrive, item P16(a)</w:t>
      </w:r>
      <w:r w:rsidR="00F844C6">
        <w:t>,</w:t>
      </w:r>
      <w:r w:rsidRPr="00F844C6">
        <w:t xml:space="preserve"> containing electronic documents which the Prosecution says were seized from the premises of the first three accused and item P17</w:t>
      </w:r>
      <w:r w:rsidR="00B850A5">
        <w:t>,</w:t>
      </w:r>
      <w:r w:rsidRPr="00F844C6">
        <w:t xml:space="preserve"> item P18 and item P19 being print outs of the content of item P16(a)</w:t>
      </w:r>
      <w:r w:rsidR="00F844C6">
        <w:t>.</w:t>
      </w:r>
    </w:p>
    <w:p w14:paraId="099E169E" w14:textId="3176AF5F" w:rsidR="00F844C6" w:rsidRDefault="00AA6D61" w:rsidP="001A0023">
      <w:pPr>
        <w:pStyle w:val="JudgmentText"/>
        <w:numPr>
          <w:ilvl w:val="0"/>
          <w:numId w:val="3"/>
        </w:numPr>
        <w:tabs>
          <w:tab w:val="left" w:pos="720"/>
        </w:tabs>
      </w:pPr>
      <w:r w:rsidRPr="00F844C6">
        <w:t>Mr Zaiwalla</w:t>
      </w:r>
      <w:r w:rsidR="00F844C6">
        <w:t>’s</w:t>
      </w:r>
      <w:r w:rsidRPr="00F844C6">
        <w:t xml:space="preserve"> objection on behalf of the 1</w:t>
      </w:r>
      <w:r w:rsidRPr="00F844C6">
        <w:rPr>
          <w:vertAlign w:val="superscript"/>
        </w:rPr>
        <w:t>st</w:t>
      </w:r>
      <w:r w:rsidRPr="00F844C6">
        <w:t xml:space="preserve"> and 2</w:t>
      </w:r>
      <w:r w:rsidRPr="00F844C6">
        <w:rPr>
          <w:vertAlign w:val="superscript"/>
        </w:rPr>
        <w:t>nd</w:t>
      </w:r>
      <w:r w:rsidRPr="00F844C6">
        <w:t xml:space="preserve"> accused is founded on the basis that the Prosecution cannot produce </w:t>
      </w:r>
      <w:r w:rsidRPr="00F844C6">
        <w:lastRenderedPageBreak/>
        <w:t>in evidence the print out and sub copies</w:t>
      </w:r>
      <w:r w:rsidR="00F844C6">
        <w:t>,</w:t>
      </w:r>
      <w:r w:rsidRPr="00F844C6">
        <w:t xml:space="preserve"> which he has itemized as P16 through P19.</w:t>
      </w:r>
      <w:r w:rsidR="00F844C6">
        <w:t xml:space="preserve"> The reason for that being </w:t>
      </w:r>
      <w:r w:rsidRPr="00F844C6">
        <w:t xml:space="preserve">that </w:t>
      </w:r>
      <w:r w:rsidR="00B850A5">
        <w:t>the physical storage</w:t>
      </w:r>
      <w:r w:rsidR="00F844C6">
        <w:t>,</w:t>
      </w:r>
      <w:r w:rsidRPr="00F844C6">
        <w:t xml:space="preserve"> which are said to have been seized from the home of the 1</w:t>
      </w:r>
      <w:r w:rsidRPr="00F844C6">
        <w:rPr>
          <w:vertAlign w:val="superscript"/>
        </w:rPr>
        <w:t>st</w:t>
      </w:r>
      <w:r w:rsidRPr="00F844C6">
        <w:t xml:space="preserve"> and 2</w:t>
      </w:r>
      <w:r w:rsidRPr="00F844C6">
        <w:rPr>
          <w:vertAlign w:val="superscript"/>
        </w:rPr>
        <w:t>nd</w:t>
      </w:r>
      <w:r w:rsidRPr="00F844C6">
        <w:t xml:space="preserve"> accused</w:t>
      </w:r>
      <w:r w:rsidR="00B850A5">
        <w:t xml:space="preserve"> have not been produced</w:t>
      </w:r>
      <w:r w:rsidRPr="00F844C6">
        <w:t>.</w:t>
      </w:r>
      <w:r w:rsidRPr="00F844C6">
        <w:rPr>
          <w:b/>
        </w:rPr>
        <w:t xml:space="preserve"> </w:t>
      </w:r>
      <w:r w:rsidRPr="00F844C6">
        <w:t>According to the Learned counsel</w:t>
      </w:r>
      <w:r w:rsidR="00F844C6">
        <w:t>,</w:t>
      </w:r>
      <w:r w:rsidRPr="00F844C6">
        <w:t xml:space="preserve"> original physical devices are clearly available to the Prosecution as</w:t>
      </w:r>
      <w:r w:rsidR="00F844C6">
        <w:t xml:space="preserve"> </w:t>
      </w:r>
      <w:r w:rsidRPr="00F844C6">
        <w:t>Mr Stephenson even brought</w:t>
      </w:r>
      <w:r w:rsidR="00F844C6">
        <w:t xml:space="preserve"> it</w:t>
      </w:r>
      <w:r w:rsidRPr="00F844C6">
        <w:t xml:space="preserve"> into </w:t>
      </w:r>
      <w:r w:rsidR="00F844C6">
        <w:t>C</w:t>
      </w:r>
      <w:r w:rsidRPr="00F844C6">
        <w:t>ourt</w:t>
      </w:r>
      <w:r w:rsidR="00F844C6">
        <w:t>.</w:t>
      </w:r>
    </w:p>
    <w:p w14:paraId="10D656DC" w14:textId="17109EA7" w:rsidR="00F844C6" w:rsidRDefault="00B850A5" w:rsidP="001A0023">
      <w:pPr>
        <w:pStyle w:val="JudgmentText"/>
        <w:numPr>
          <w:ilvl w:val="0"/>
          <w:numId w:val="3"/>
        </w:numPr>
        <w:tabs>
          <w:tab w:val="left" w:pos="720"/>
        </w:tabs>
      </w:pPr>
      <w:r>
        <w:t>The Learned counsel</w:t>
      </w:r>
      <w:r w:rsidRPr="00B850A5">
        <w:t xml:space="preserve"> </w:t>
      </w:r>
      <w:r w:rsidR="00621828" w:rsidRPr="00B850A5">
        <w:t>referred to Archbold 1962 edition at paragraph 1062</w:t>
      </w:r>
      <w:r w:rsidR="007C5FEF">
        <w:t>. He submitted that it</w:t>
      </w:r>
      <w:r w:rsidR="00621828" w:rsidRPr="00B850A5">
        <w:t xml:space="preserve"> provides that it is a general rule of the </w:t>
      </w:r>
      <w:r w:rsidR="00F844C6" w:rsidRPr="00B850A5">
        <w:t>b</w:t>
      </w:r>
      <w:r w:rsidR="00621828" w:rsidRPr="00B850A5">
        <w:t xml:space="preserve">est evidence </w:t>
      </w:r>
      <w:r>
        <w:t>that the original of the document</w:t>
      </w:r>
      <w:r w:rsidR="00621828" w:rsidRPr="00B850A5">
        <w:t xml:space="preserve"> must be produce</w:t>
      </w:r>
      <w:r>
        <w:t>d</w:t>
      </w:r>
      <w:r w:rsidR="00621828" w:rsidRPr="00B850A5">
        <w:t xml:space="preserve"> if it can possibly be obtained. It is not the next best evidence that can be obtained</w:t>
      </w:r>
      <w:r>
        <w:t xml:space="preserve">. If the original cannot be obtained </w:t>
      </w:r>
      <w:r w:rsidR="00621828" w:rsidRPr="00B850A5">
        <w:t xml:space="preserve">then the next best evidence can be </w:t>
      </w:r>
      <w:r>
        <w:t>produced</w:t>
      </w:r>
      <w:r w:rsidR="00621828" w:rsidRPr="00B850A5">
        <w:t>.</w:t>
      </w:r>
      <w:r w:rsidR="00F844C6">
        <w:t xml:space="preserve">  </w:t>
      </w:r>
      <w:r w:rsidR="00621828" w:rsidRPr="00F844C6">
        <w:t>This means that as a general rule where a written document is to be used as proof</w:t>
      </w:r>
      <w:r w:rsidR="00112BBF">
        <w:t>,</w:t>
      </w:r>
      <w:r w:rsidR="00621828" w:rsidRPr="00F844C6">
        <w:t xml:space="preserve"> the original document must be itself produced and in fact can be proved by the person </w:t>
      </w:r>
      <w:r w:rsidR="00621828" w:rsidRPr="00F844C6">
        <w:lastRenderedPageBreak/>
        <w:t>who actually saw or heard</w:t>
      </w:r>
      <w:r w:rsidR="00112BBF">
        <w:t>;</w:t>
      </w:r>
      <w:r w:rsidR="00621828" w:rsidRPr="00F844C6">
        <w:t xml:space="preserve"> or if it appears that there was any better evidence existing</w:t>
      </w:r>
      <w:r w:rsidR="006A71B8">
        <w:t>,</w:t>
      </w:r>
      <w:r w:rsidR="00621828" w:rsidRPr="00F844C6">
        <w:t xml:space="preserve"> but that which is produce</w:t>
      </w:r>
      <w:r w:rsidR="00112BBF">
        <w:t>d</w:t>
      </w:r>
      <w:r w:rsidR="00621828" w:rsidRPr="00F844C6">
        <w:t>, the non</w:t>
      </w:r>
      <w:r w:rsidR="006A71B8">
        <w:t>-</w:t>
      </w:r>
      <w:r w:rsidR="00621828" w:rsidRPr="00F844C6">
        <w:t>production of such evidence makes presumption that if p</w:t>
      </w:r>
      <w:r w:rsidR="00D73448">
        <w:t>roduced,</w:t>
      </w:r>
      <w:r w:rsidR="006A71B8" w:rsidRPr="00F844C6">
        <w:rPr>
          <w:b/>
        </w:rPr>
        <w:t xml:space="preserve"> </w:t>
      </w:r>
      <w:r w:rsidR="00621828" w:rsidRPr="00F844C6">
        <w:t xml:space="preserve">the foundation for it must first be laid by proving that </w:t>
      </w:r>
      <w:r>
        <w:t xml:space="preserve">original </w:t>
      </w:r>
      <w:r w:rsidR="00621828" w:rsidRPr="00F844C6">
        <w:t xml:space="preserve">evidence cannot be </w:t>
      </w:r>
      <w:r>
        <w:t>physically produced and secondary evidence is a true copy of the original evidence</w:t>
      </w:r>
    </w:p>
    <w:p w14:paraId="19DC7B20" w14:textId="77777777" w:rsidR="006A4D16" w:rsidRDefault="00621828" w:rsidP="006A4D16">
      <w:pPr>
        <w:pStyle w:val="JudgmentText"/>
        <w:numPr>
          <w:ilvl w:val="0"/>
          <w:numId w:val="3"/>
        </w:numPr>
        <w:tabs>
          <w:tab w:val="left" w:pos="720"/>
        </w:tabs>
        <w:rPr>
          <w:rStyle w:val="apple-converted-space"/>
        </w:rPr>
      </w:pPr>
      <w:r w:rsidRPr="00F844C6">
        <w:t xml:space="preserve">I have given very close attention to this objection raised by Mr Zaiwalla and both the law of Seychelles </w:t>
      </w:r>
      <w:r w:rsidR="006A71B8" w:rsidRPr="00F844C6">
        <w:t>and</w:t>
      </w:r>
      <w:r w:rsidRPr="00F844C6">
        <w:t xml:space="preserve"> that of the UK on this aspect of the law of Criminal Evidence.</w:t>
      </w:r>
      <w:r w:rsidR="006A71B8">
        <w:t xml:space="preserve"> </w:t>
      </w:r>
      <w:r w:rsidR="004417EE" w:rsidRPr="00F844C6">
        <w:rPr>
          <w:shd w:val="clear" w:color="auto" w:fill="FFFFFF"/>
        </w:rPr>
        <w:t>The</w:t>
      </w:r>
      <w:r w:rsidR="004417EE" w:rsidRPr="00F844C6">
        <w:rPr>
          <w:rStyle w:val="apple-converted-space"/>
          <w:shd w:val="clear" w:color="auto" w:fill="FFFFFF"/>
        </w:rPr>
        <w:t> </w:t>
      </w:r>
      <w:r w:rsidR="004417EE" w:rsidRPr="00F844C6">
        <w:rPr>
          <w:bCs/>
          <w:shd w:val="clear" w:color="auto" w:fill="FFFFFF"/>
        </w:rPr>
        <w:t>best evidence rule</w:t>
      </w:r>
      <w:r w:rsidR="004417EE" w:rsidRPr="00F844C6">
        <w:rPr>
          <w:rStyle w:val="apple-converted-space"/>
          <w:shd w:val="clear" w:color="auto" w:fill="FFFFFF"/>
        </w:rPr>
        <w:t> </w:t>
      </w:r>
      <w:r w:rsidR="004417EE" w:rsidRPr="00F844C6">
        <w:rPr>
          <w:shd w:val="clear" w:color="auto" w:fill="FFFFFF"/>
        </w:rPr>
        <w:t>is a legal principle that holds an original of a document as superior evidence. The rule specifies that secondary evidence, such as a copy or</w:t>
      </w:r>
      <w:r w:rsidR="004417EE" w:rsidRPr="00F844C6">
        <w:rPr>
          <w:rStyle w:val="apple-converted-space"/>
          <w:shd w:val="clear" w:color="auto" w:fill="FFFFFF"/>
        </w:rPr>
        <w:t> </w:t>
      </w:r>
      <w:hyperlink r:id="rId7" w:tooltip="Facsimile" w:history="1">
        <w:r w:rsidR="004417EE" w:rsidRPr="00F844C6">
          <w:rPr>
            <w:rStyle w:val="Hyperlink"/>
            <w:color w:val="auto"/>
            <w:u w:val="none"/>
            <w:shd w:val="clear" w:color="auto" w:fill="FFFFFF"/>
          </w:rPr>
          <w:t>facsimile</w:t>
        </w:r>
      </w:hyperlink>
      <w:r w:rsidR="004417EE" w:rsidRPr="00F844C6">
        <w:rPr>
          <w:shd w:val="clear" w:color="auto" w:fill="FFFFFF"/>
        </w:rPr>
        <w:t>, will be not admissible if an original document exists and can be obtained.</w:t>
      </w:r>
      <w:r w:rsidR="00D76CBE">
        <w:rPr>
          <w:rStyle w:val="apple-converted-space"/>
        </w:rPr>
        <w:t xml:space="preserve"> </w:t>
      </w:r>
    </w:p>
    <w:p w14:paraId="63E22872" w14:textId="2F5FBBCD" w:rsidR="00F844C6" w:rsidRPr="00F844C6" w:rsidRDefault="004417EE" w:rsidP="006A4D16">
      <w:pPr>
        <w:pStyle w:val="JudgmentText"/>
        <w:numPr>
          <w:ilvl w:val="0"/>
          <w:numId w:val="3"/>
        </w:numPr>
        <w:tabs>
          <w:tab w:val="left" w:pos="720"/>
        </w:tabs>
      </w:pPr>
      <w:r w:rsidRPr="006A4D16">
        <w:rPr>
          <w:shd w:val="clear" w:color="auto" w:fill="FFFFFF"/>
        </w:rPr>
        <w:t>The rule has its roots in 18</w:t>
      </w:r>
      <w:r w:rsidRPr="006A4D16">
        <w:rPr>
          <w:shd w:val="clear" w:color="auto" w:fill="FFFFFF"/>
          <w:vertAlign w:val="superscript"/>
        </w:rPr>
        <w:t>th</w:t>
      </w:r>
      <w:r w:rsidR="006A71B8" w:rsidRPr="006A4D16">
        <w:rPr>
          <w:shd w:val="clear" w:color="auto" w:fill="FFFFFF"/>
        </w:rPr>
        <w:t xml:space="preserve"> </w:t>
      </w:r>
      <w:r w:rsidRPr="006A4D16">
        <w:rPr>
          <w:shd w:val="clear" w:color="auto" w:fill="FFFFFF"/>
        </w:rPr>
        <w:t>century case</w:t>
      </w:r>
      <w:r w:rsidRPr="006A4D16">
        <w:rPr>
          <w:rStyle w:val="apple-converted-space"/>
          <w:shd w:val="clear" w:color="auto" w:fill="FFFFFF"/>
        </w:rPr>
        <w:t> </w:t>
      </w:r>
      <w:r w:rsidRPr="006A4D16">
        <w:rPr>
          <w:i/>
          <w:iCs/>
          <w:u w:val="single"/>
          <w:shd w:val="clear" w:color="auto" w:fill="FFFFFF"/>
        </w:rPr>
        <w:t>Omychund v Barker</w:t>
      </w:r>
      <w:r w:rsidRPr="006A4D16">
        <w:rPr>
          <w:rStyle w:val="apple-converted-space"/>
          <w:u w:val="single"/>
          <w:shd w:val="clear" w:color="auto" w:fill="FFFFFF"/>
        </w:rPr>
        <w:t> </w:t>
      </w:r>
      <w:r w:rsidRPr="006A4D16">
        <w:rPr>
          <w:u w:val="single"/>
          <w:shd w:val="clear" w:color="auto" w:fill="FFFFFF"/>
        </w:rPr>
        <w:t>(1780) 1 Atk, 21, 49; 26 ER 15, 33</w:t>
      </w:r>
      <w:r w:rsidRPr="006A4D16">
        <w:rPr>
          <w:shd w:val="clear" w:color="auto" w:fill="FFFFFF"/>
        </w:rPr>
        <w:t xml:space="preserve"> </w:t>
      </w:r>
      <w:r w:rsidR="000F2F17" w:rsidRPr="006A4D16">
        <w:rPr>
          <w:shd w:val="clear" w:color="auto" w:fill="FFFFFF"/>
        </w:rPr>
        <w:t>w</w:t>
      </w:r>
      <w:r w:rsidRPr="006A4D16">
        <w:rPr>
          <w:shd w:val="clear" w:color="auto" w:fill="FFFFFF"/>
        </w:rPr>
        <w:t xml:space="preserve">herein Lord </w:t>
      </w:r>
      <w:r w:rsidRPr="006A4D16">
        <w:rPr>
          <w:shd w:val="clear" w:color="auto" w:fill="FFFFFF"/>
        </w:rPr>
        <w:lastRenderedPageBreak/>
        <w:t xml:space="preserve">Harwicke stated that no evidence was admissible unless it was </w:t>
      </w:r>
      <w:r w:rsidR="006A4D16">
        <w:rPr>
          <w:shd w:val="clear" w:color="auto" w:fill="FFFFFF"/>
        </w:rPr>
        <w:t>“</w:t>
      </w:r>
      <w:r w:rsidRPr="006A4D16">
        <w:rPr>
          <w:i/>
          <w:shd w:val="clear" w:color="auto" w:fill="FFFFFF"/>
        </w:rPr>
        <w:t>the best that the nature of the case will allow</w:t>
      </w:r>
      <w:r w:rsidR="006A4D16">
        <w:rPr>
          <w:i/>
          <w:shd w:val="clear" w:color="auto" w:fill="FFFFFF"/>
        </w:rPr>
        <w:t>”</w:t>
      </w:r>
      <w:r w:rsidR="006A4D16">
        <w:rPr>
          <w:shd w:val="clear" w:color="auto" w:fill="FFFFFF"/>
        </w:rPr>
        <w:t>.</w:t>
      </w:r>
      <w:r w:rsidR="006A71B8" w:rsidRPr="006A4D16" w:rsidDel="006A71B8">
        <w:rPr>
          <w:rStyle w:val="Hyperlink"/>
          <w:color w:val="auto"/>
          <w:u w:val="none"/>
          <w:shd w:val="clear" w:color="auto" w:fill="FFFFFF"/>
          <w:vertAlign w:val="superscript"/>
        </w:rPr>
        <w:t xml:space="preserve"> </w:t>
      </w:r>
      <w:r w:rsidR="00D76CBE">
        <w:t xml:space="preserve"> </w:t>
      </w:r>
      <w:r w:rsidR="001A0023" w:rsidRPr="00F844C6">
        <w:t xml:space="preserve">Although a number of older authorities </w:t>
      </w:r>
      <w:r w:rsidR="001421FB">
        <w:t>refer</w:t>
      </w:r>
      <w:r w:rsidR="001A0023" w:rsidRPr="00F844C6">
        <w:t xml:space="preserve"> to a </w:t>
      </w:r>
      <w:r w:rsidR="001A0023" w:rsidRPr="006A4D16">
        <w:rPr>
          <w:i/>
        </w:rPr>
        <w:t>‘best evidence principle’,</w:t>
      </w:r>
      <w:r w:rsidR="001A0023" w:rsidRPr="00F844C6">
        <w:t xml:space="preserve"> as Jonathan Parker LJ observed in </w:t>
      </w:r>
      <w:r w:rsidR="001A0023" w:rsidRPr="006A4D16">
        <w:rPr>
          <w:i/>
          <w:u w:val="single"/>
        </w:rPr>
        <w:t>Springsteen v Masquerade Music Ltd</w:t>
      </w:r>
      <w:r w:rsidR="001A0023" w:rsidRPr="006A4D16">
        <w:rPr>
          <w:u w:val="single"/>
        </w:rPr>
        <w:t xml:space="preserve"> [2001] EMLR 654</w:t>
      </w:r>
      <w:r w:rsidR="001A0023" w:rsidRPr="00F844C6">
        <w:t xml:space="preserve"> at [64], </w:t>
      </w:r>
      <w:r w:rsidR="006A4D16">
        <w:rPr>
          <w:i/>
        </w:rPr>
        <w:t>“</w:t>
      </w:r>
      <w:r w:rsidR="001A0023" w:rsidRPr="006A4D16">
        <w:rPr>
          <w:i/>
        </w:rPr>
        <w:t>even in its heyday, the best evidence rule was not a</w:t>
      </w:r>
      <w:r w:rsidR="006A4D16">
        <w:rPr>
          <w:i/>
        </w:rPr>
        <w:t>n absolute rule”.</w:t>
      </w:r>
    </w:p>
    <w:p w14:paraId="76369047" w14:textId="3F9FF620" w:rsidR="00F844C6" w:rsidRPr="00AB10CA" w:rsidRDefault="001421FB" w:rsidP="00AB10CA">
      <w:pPr>
        <w:numPr>
          <w:ilvl w:val="0"/>
          <w:numId w:val="3"/>
        </w:numPr>
        <w:tabs>
          <w:tab w:val="left" w:pos="720"/>
        </w:tabs>
        <w:spacing w:line="360" w:lineRule="auto"/>
        <w:jc w:val="both"/>
        <w:rPr>
          <w:rFonts w:ascii="Times New Roman" w:hAnsi="Times New Roman" w:cs="Times New Roman"/>
          <w:sz w:val="24"/>
          <w:szCs w:val="24"/>
        </w:rPr>
      </w:pPr>
      <w:r w:rsidRPr="001421FB">
        <w:rPr>
          <w:rFonts w:ascii="Times New Roman" w:hAnsi="Times New Roman" w:cs="Times New Roman"/>
          <w:sz w:val="24"/>
          <w:szCs w:val="24"/>
        </w:rPr>
        <w:t>The rule was not without criticism and over the years</w:t>
      </w:r>
      <w:r w:rsidR="006A4D16">
        <w:rPr>
          <w:rFonts w:ascii="Times New Roman" w:hAnsi="Times New Roman" w:cs="Times New Roman"/>
          <w:sz w:val="24"/>
          <w:szCs w:val="24"/>
        </w:rPr>
        <w:t xml:space="preserve"> the principle</w:t>
      </w:r>
      <w:r w:rsidRPr="001421FB">
        <w:rPr>
          <w:rFonts w:ascii="Times New Roman" w:hAnsi="Times New Roman" w:cs="Times New Roman"/>
          <w:sz w:val="24"/>
          <w:szCs w:val="24"/>
        </w:rPr>
        <w:t xml:space="preserve"> </w:t>
      </w:r>
      <w:r w:rsidR="001A0023" w:rsidRPr="00AB10CA">
        <w:rPr>
          <w:rFonts w:ascii="Times New Roman" w:hAnsi="Times New Roman" w:cs="Times New Roman"/>
          <w:sz w:val="24"/>
          <w:szCs w:val="24"/>
        </w:rPr>
        <w:t xml:space="preserve">waned perceptibly. In </w:t>
      </w:r>
      <w:r w:rsidR="001A0023" w:rsidRPr="00AB10CA">
        <w:rPr>
          <w:rFonts w:ascii="Times New Roman" w:hAnsi="Times New Roman" w:cs="Times New Roman"/>
          <w:i/>
          <w:sz w:val="24"/>
          <w:szCs w:val="24"/>
          <w:u w:val="single"/>
        </w:rPr>
        <w:t>Garton v Hunter</w:t>
      </w:r>
      <w:r w:rsidR="001A0023" w:rsidRPr="00AB10CA">
        <w:rPr>
          <w:rFonts w:ascii="Times New Roman" w:hAnsi="Times New Roman" w:cs="Times New Roman"/>
          <w:sz w:val="24"/>
          <w:szCs w:val="24"/>
          <w:u w:val="single"/>
        </w:rPr>
        <w:t xml:space="preserve"> [1969] 2 QB 37, 44</w:t>
      </w:r>
      <w:r w:rsidR="001A0023" w:rsidRPr="00AB10CA">
        <w:rPr>
          <w:rFonts w:ascii="Times New Roman" w:hAnsi="Times New Roman" w:cs="Times New Roman"/>
          <w:sz w:val="24"/>
          <w:szCs w:val="24"/>
        </w:rPr>
        <w:t xml:space="preserve">, Lord Denning MR dismissed the principle out of hand with the words, </w:t>
      </w:r>
      <w:r w:rsidR="00C56331" w:rsidRPr="00AB10CA">
        <w:rPr>
          <w:rFonts w:ascii="Times New Roman" w:hAnsi="Times New Roman" w:cs="Times New Roman"/>
          <w:i/>
          <w:sz w:val="24"/>
          <w:szCs w:val="24"/>
        </w:rPr>
        <w:t>“</w:t>
      </w:r>
      <w:r w:rsidR="001A0023" w:rsidRPr="00AB10CA">
        <w:rPr>
          <w:rFonts w:ascii="Times New Roman" w:hAnsi="Times New Roman" w:cs="Times New Roman"/>
          <w:i/>
          <w:sz w:val="24"/>
          <w:szCs w:val="24"/>
        </w:rPr>
        <w:t>That old rule has gone by the board long ago</w:t>
      </w:r>
      <w:r w:rsidR="00C56331" w:rsidRPr="00AB10CA">
        <w:rPr>
          <w:rFonts w:ascii="Times New Roman" w:hAnsi="Times New Roman" w:cs="Times New Roman"/>
          <w:i/>
          <w:sz w:val="24"/>
          <w:szCs w:val="24"/>
        </w:rPr>
        <w:t xml:space="preserve">. </w:t>
      </w:r>
      <w:r w:rsidRPr="001421FB">
        <w:rPr>
          <w:rFonts w:ascii="Times New Roman" w:hAnsi="Times New Roman" w:cs="Times New Roman"/>
          <w:i/>
          <w:sz w:val="24"/>
          <w:szCs w:val="24"/>
        </w:rPr>
        <w:t xml:space="preserve">The only remaining instance of it that I know is that if an original document is available in your hands, you must produce it. You cannot give secondary evidence by producing a copy. </w:t>
      </w:r>
      <w:r w:rsidR="001A0023" w:rsidRPr="00AB10CA">
        <w:rPr>
          <w:rFonts w:ascii="Times New Roman" w:hAnsi="Times New Roman" w:cs="Times New Roman"/>
          <w:i/>
          <w:sz w:val="24"/>
          <w:szCs w:val="24"/>
        </w:rPr>
        <w:t xml:space="preserve">Nowadays we do not confine </w:t>
      </w:r>
      <w:r w:rsidR="001A0023" w:rsidRPr="00AB10CA">
        <w:rPr>
          <w:rFonts w:ascii="Times New Roman" w:hAnsi="Times New Roman" w:cs="Times New Roman"/>
          <w:i/>
          <w:sz w:val="24"/>
          <w:szCs w:val="24"/>
        </w:rPr>
        <w:lastRenderedPageBreak/>
        <w:t>ourselves to the best evidence</w:t>
      </w:r>
      <w:r w:rsidR="00C56331" w:rsidRPr="00AB10CA">
        <w:rPr>
          <w:rFonts w:ascii="Times New Roman" w:hAnsi="Times New Roman" w:cs="Times New Roman"/>
          <w:i/>
          <w:sz w:val="24"/>
          <w:szCs w:val="24"/>
        </w:rPr>
        <w:t xml:space="preserve">. </w:t>
      </w:r>
      <w:r w:rsidR="00C56331" w:rsidRPr="001421FB">
        <w:rPr>
          <w:rFonts w:ascii="Times New Roman" w:eastAsia="Times New Roman" w:hAnsi="Times New Roman" w:cs="Times New Roman"/>
          <w:i/>
          <w:sz w:val="24"/>
          <w:szCs w:val="24"/>
          <w:lang w:val="en-GB"/>
        </w:rPr>
        <w:t>We admit all relevant evidence. The goodness or badness of it goes only to weight, and not to admissi</w:t>
      </w:r>
      <w:r w:rsidR="00080F5B">
        <w:rPr>
          <w:rFonts w:ascii="Times New Roman" w:eastAsia="Times New Roman" w:hAnsi="Times New Roman" w:cs="Times New Roman"/>
          <w:i/>
          <w:sz w:val="24"/>
          <w:szCs w:val="24"/>
          <w:lang w:val="en-GB"/>
        </w:rPr>
        <w:t>bility</w:t>
      </w:r>
      <w:r w:rsidR="00C56331" w:rsidRPr="00AB10CA">
        <w:rPr>
          <w:rFonts w:ascii="Times New Roman" w:hAnsi="Times New Roman" w:cs="Times New Roman"/>
          <w:i/>
          <w:sz w:val="24"/>
          <w:szCs w:val="24"/>
        </w:rPr>
        <w:t>”</w:t>
      </w:r>
      <w:r w:rsidR="00080F5B">
        <w:rPr>
          <w:rFonts w:ascii="Times New Roman" w:hAnsi="Times New Roman" w:cs="Times New Roman"/>
          <w:i/>
          <w:sz w:val="24"/>
          <w:szCs w:val="24"/>
        </w:rPr>
        <w:t>.</w:t>
      </w:r>
      <w:r w:rsidR="001A0023" w:rsidRPr="00AB10CA">
        <w:rPr>
          <w:rFonts w:ascii="Times New Roman" w:hAnsi="Times New Roman" w:cs="Times New Roman"/>
          <w:sz w:val="24"/>
          <w:szCs w:val="24"/>
        </w:rPr>
        <w:t xml:space="preserve"> </w:t>
      </w:r>
      <w:r w:rsidR="00C56331" w:rsidRPr="001421FB">
        <w:rPr>
          <w:rFonts w:ascii="Times New Roman" w:hAnsi="Times New Roman" w:cs="Times New Roman"/>
          <w:sz w:val="24"/>
          <w:szCs w:val="24"/>
        </w:rPr>
        <w:t>In</w:t>
      </w:r>
      <w:r w:rsidR="001A0023" w:rsidRPr="00AB10CA">
        <w:rPr>
          <w:rFonts w:ascii="Times New Roman" w:hAnsi="Times New Roman" w:cs="Times New Roman"/>
          <w:sz w:val="24"/>
          <w:szCs w:val="24"/>
        </w:rPr>
        <w:t xml:space="preserve"> </w:t>
      </w:r>
      <w:r w:rsidR="001A0023" w:rsidRPr="00AB10CA">
        <w:rPr>
          <w:rFonts w:ascii="Times New Roman" w:hAnsi="Times New Roman" w:cs="Times New Roman"/>
          <w:i/>
          <w:sz w:val="24"/>
          <w:szCs w:val="24"/>
          <w:u w:val="single"/>
        </w:rPr>
        <w:t>R v Pentonville Prison, ex p Osman</w:t>
      </w:r>
      <w:r w:rsidR="001A0023" w:rsidRPr="00AB10CA">
        <w:rPr>
          <w:rFonts w:ascii="Times New Roman" w:hAnsi="Times New Roman" w:cs="Times New Roman"/>
          <w:sz w:val="24"/>
          <w:szCs w:val="24"/>
          <w:u w:val="single"/>
        </w:rPr>
        <w:t xml:space="preserve"> [1990] 1 WLR 277</w:t>
      </w:r>
      <w:r w:rsidR="001A0023" w:rsidRPr="00AB10CA">
        <w:rPr>
          <w:rFonts w:ascii="Times New Roman" w:hAnsi="Times New Roman" w:cs="Times New Roman"/>
          <w:sz w:val="24"/>
          <w:szCs w:val="24"/>
        </w:rPr>
        <w:t xml:space="preserve">, the Divisional Court declared itself </w:t>
      </w:r>
      <w:r w:rsidR="00080F5B">
        <w:rPr>
          <w:rFonts w:ascii="Times New Roman" w:hAnsi="Times New Roman" w:cs="Times New Roman"/>
          <w:i/>
          <w:sz w:val="24"/>
          <w:szCs w:val="24"/>
        </w:rPr>
        <w:t>“</w:t>
      </w:r>
      <w:r w:rsidR="001A0023" w:rsidRPr="00AB10CA">
        <w:rPr>
          <w:rFonts w:ascii="Times New Roman" w:hAnsi="Times New Roman" w:cs="Times New Roman"/>
          <w:i/>
          <w:sz w:val="24"/>
          <w:szCs w:val="24"/>
        </w:rPr>
        <w:t>more than happy to say goodbye to the . . . rule</w:t>
      </w:r>
      <w:r w:rsidR="00080F5B">
        <w:rPr>
          <w:rFonts w:ascii="Times New Roman" w:hAnsi="Times New Roman" w:cs="Times New Roman"/>
          <w:i/>
          <w:sz w:val="24"/>
          <w:szCs w:val="24"/>
        </w:rPr>
        <w:t>”</w:t>
      </w:r>
      <w:r w:rsidR="001A0023" w:rsidRPr="00AB10CA">
        <w:rPr>
          <w:rFonts w:ascii="Times New Roman" w:hAnsi="Times New Roman" w:cs="Times New Roman"/>
          <w:sz w:val="24"/>
          <w:szCs w:val="24"/>
        </w:rPr>
        <w:t>, noting that</w:t>
      </w:r>
      <w:r w:rsidR="00080F5B">
        <w:rPr>
          <w:rFonts w:ascii="Times New Roman" w:hAnsi="Times New Roman" w:cs="Times New Roman"/>
          <w:i/>
          <w:sz w:val="24"/>
          <w:szCs w:val="24"/>
        </w:rPr>
        <w:t xml:space="preserve"> “</w:t>
      </w:r>
      <w:r w:rsidR="001A0023" w:rsidRPr="00AB10CA">
        <w:rPr>
          <w:rFonts w:ascii="Times New Roman" w:hAnsi="Times New Roman" w:cs="Times New Roman"/>
          <w:i/>
          <w:sz w:val="24"/>
          <w:szCs w:val="24"/>
        </w:rPr>
        <w:t>the little loved best evidence ru</w:t>
      </w:r>
      <w:r w:rsidR="00080F5B">
        <w:rPr>
          <w:rFonts w:ascii="Times New Roman" w:hAnsi="Times New Roman" w:cs="Times New Roman"/>
          <w:i/>
          <w:sz w:val="24"/>
          <w:szCs w:val="24"/>
        </w:rPr>
        <w:t>le has been dying for some time”</w:t>
      </w:r>
      <w:r w:rsidR="001A0023" w:rsidRPr="00AB10CA">
        <w:rPr>
          <w:rFonts w:ascii="Times New Roman" w:hAnsi="Times New Roman" w:cs="Times New Roman"/>
          <w:sz w:val="24"/>
          <w:szCs w:val="24"/>
        </w:rPr>
        <w:t xml:space="preserve">. </w:t>
      </w:r>
      <w:r w:rsidRPr="001421FB">
        <w:rPr>
          <w:rFonts w:ascii="Times New Roman" w:hAnsi="Times New Roman" w:cs="Times New Roman"/>
          <w:sz w:val="24"/>
          <w:szCs w:val="24"/>
        </w:rPr>
        <w:t>It should be noted though that i</w:t>
      </w:r>
      <w:r w:rsidR="00256C66" w:rsidRPr="001421FB">
        <w:rPr>
          <w:rFonts w:ascii="Times New Roman" w:hAnsi="Times New Roman" w:cs="Times New Roman"/>
          <w:sz w:val="24"/>
          <w:szCs w:val="24"/>
        </w:rPr>
        <w:t xml:space="preserve">n </w:t>
      </w:r>
      <w:r w:rsidR="00256C66" w:rsidRPr="001421FB">
        <w:rPr>
          <w:rFonts w:ascii="Times New Roman" w:hAnsi="Times New Roman" w:cs="Times New Roman"/>
          <w:i/>
          <w:sz w:val="24"/>
          <w:szCs w:val="24"/>
          <w:u w:val="single"/>
        </w:rPr>
        <w:t>Kajala v Noble</w:t>
      </w:r>
      <w:r w:rsidR="00256C66" w:rsidRPr="001421FB">
        <w:rPr>
          <w:rFonts w:ascii="Times New Roman" w:hAnsi="Times New Roman" w:cs="Times New Roman"/>
          <w:sz w:val="24"/>
          <w:szCs w:val="24"/>
          <w:u w:val="single"/>
        </w:rPr>
        <w:t xml:space="preserve"> (1982) 75 Cr App R 149, 152 </w:t>
      </w:r>
      <w:r w:rsidR="001A0023" w:rsidRPr="00AB10CA">
        <w:rPr>
          <w:rFonts w:ascii="Times New Roman" w:hAnsi="Times New Roman" w:cs="Times New Roman"/>
          <w:sz w:val="24"/>
          <w:szCs w:val="24"/>
        </w:rPr>
        <w:t xml:space="preserve">Ackner LJ had claimed that one vestige of the rule survived: </w:t>
      </w:r>
      <w:r w:rsidR="00066299" w:rsidRPr="00AB10CA">
        <w:rPr>
          <w:rFonts w:ascii="Times New Roman" w:hAnsi="Times New Roman" w:cs="Times New Roman"/>
          <w:i/>
          <w:sz w:val="24"/>
          <w:szCs w:val="24"/>
        </w:rPr>
        <w:t>“</w:t>
      </w:r>
      <w:r w:rsidR="001A0023" w:rsidRPr="00AB10CA">
        <w:rPr>
          <w:rFonts w:ascii="Times New Roman" w:hAnsi="Times New Roman" w:cs="Times New Roman"/>
          <w:i/>
          <w:sz w:val="24"/>
          <w:szCs w:val="24"/>
        </w:rPr>
        <w:t>The old rule, that a party must produce the best evidence that the nature of the case will allow, and that any less good evidence is to be excluded, has gone by the board long ago. The only remaining instance of it is that, if the original document is available in one’s hands, one must produce it</w:t>
      </w:r>
      <w:r w:rsidR="00066299" w:rsidRPr="00AB10CA">
        <w:rPr>
          <w:rFonts w:ascii="Times New Roman" w:hAnsi="Times New Roman" w:cs="Times New Roman"/>
          <w:i/>
          <w:sz w:val="24"/>
          <w:szCs w:val="24"/>
        </w:rPr>
        <w:t>”</w:t>
      </w:r>
      <w:r w:rsidR="00080F5B">
        <w:rPr>
          <w:rFonts w:ascii="Times New Roman" w:hAnsi="Times New Roman" w:cs="Times New Roman"/>
          <w:sz w:val="24"/>
          <w:szCs w:val="24"/>
        </w:rPr>
        <w:t>.</w:t>
      </w:r>
    </w:p>
    <w:p w14:paraId="734095B3" w14:textId="2AECA4EC" w:rsidR="001421FB" w:rsidRPr="00AB10CA" w:rsidRDefault="001A0023" w:rsidP="001421FB">
      <w:pPr>
        <w:pStyle w:val="JudgmentText"/>
        <w:numPr>
          <w:ilvl w:val="0"/>
          <w:numId w:val="3"/>
        </w:numPr>
        <w:tabs>
          <w:tab w:val="left" w:pos="720"/>
        </w:tabs>
      </w:pPr>
      <w:r w:rsidRPr="00F844C6">
        <w:t xml:space="preserve">In </w:t>
      </w:r>
      <w:r w:rsidRPr="00AB10CA">
        <w:rPr>
          <w:i/>
          <w:u w:val="single"/>
        </w:rPr>
        <w:t>Springsteen v Masquerade Music Ltd</w:t>
      </w:r>
      <w:r w:rsidRPr="00AB10CA">
        <w:rPr>
          <w:u w:val="single"/>
        </w:rPr>
        <w:t xml:space="preserve"> [2001] EMLR 654</w:t>
      </w:r>
      <w:r w:rsidRPr="00F844C6">
        <w:t xml:space="preserve">, </w:t>
      </w:r>
      <w:r w:rsidR="00C63593">
        <w:t xml:space="preserve">at </w:t>
      </w:r>
      <w:r w:rsidRPr="00F844C6">
        <w:t xml:space="preserve">[76] and [79], however, the Court of Appeal extinguished </w:t>
      </w:r>
      <w:r w:rsidRPr="00F844C6">
        <w:lastRenderedPageBreak/>
        <w:t xml:space="preserve">even this final flicker of the rule: </w:t>
      </w:r>
      <w:r w:rsidR="001421FB" w:rsidRPr="00AB10CA">
        <w:rPr>
          <w:i/>
        </w:rPr>
        <w:t>“</w:t>
      </w:r>
      <w:r w:rsidRPr="00AB10CA">
        <w:rPr>
          <w:i/>
        </w:rPr>
        <w:t>The authorities</w:t>
      </w:r>
      <w:r w:rsidR="001421FB" w:rsidRPr="00AB10CA">
        <w:rPr>
          <w:i/>
        </w:rPr>
        <w:t xml:space="preserve"> …</w:t>
      </w:r>
      <w:r w:rsidR="00F844C6" w:rsidRPr="00AB10CA">
        <w:rPr>
          <w:i/>
        </w:rPr>
        <w:t xml:space="preserve">  </w:t>
      </w:r>
      <w:r w:rsidRPr="00AB10CA">
        <w:rPr>
          <w:i/>
        </w:rPr>
        <w:t>establish that by the mid-nineteenth century, if not earlier, the so-called ‘best evidence rule’ was recognized by the courts as no more than a rule of practice to the effect that the court would attach no weight to secondary evidence of the contents of a document unless the party seeking to adduce such evidence had first accounted to the satisfaction of the court for the non-production of the document itself</w:t>
      </w:r>
      <w:r w:rsidR="001421FB" w:rsidRPr="00AB10CA">
        <w:rPr>
          <w:i/>
        </w:rPr>
        <w:t>”</w:t>
      </w:r>
      <w:r w:rsidRPr="00AB10CA">
        <w:rPr>
          <w:i/>
        </w:rPr>
        <w:t>.</w:t>
      </w:r>
      <w:r w:rsidR="006F6550" w:rsidRPr="00AB10CA">
        <w:rPr>
          <w:i/>
        </w:rPr>
        <w:t xml:space="preserve"> </w:t>
      </w:r>
    </w:p>
    <w:p w14:paraId="460F03F9" w14:textId="73BA827D" w:rsidR="001421FB" w:rsidRDefault="001A0023" w:rsidP="001421FB">
      <w:pPr>
        <w:pStyle w:val="JudgmentText"/>
        <w:numPr>
          <w:ilvl w:val="0"/>
          <w:numId w:val="3"/>
        </w:numPr>
        <w:tabs>
          <w:tab w:val="left" w:pos="720"/>
        </w:tabs>
      </w:pPr>
      <w:r w:rsidRPr="00F844C6">
        <w:t xml:space="preserve">This judgment seems </w:t>
      </w:r>
      <w:r w:rsidR="001421FB">
        <w:t xml:space="preserve">to have </w:t>
      </w:r>
      <w:r w:rsidRPr="00F844C6">
        <w:t>finally dispelled any lingering notion</w:t>
      </w:r>
      <w:r w:rsidR="007C5FEF">
        <w:t xml:space="preserve"> under the current common law</w:t>
      </w:r>
      <w:r w:rsidR="00D73448">
        <w:t xml:space="preserve"> of England</w:t>
      </w:r>
      <w:r w:rsidRPr="00F844C6">
        <w:t xml:space="preserve"> that it is a condition of admissibility that evidence proffered must be the best that the nature of the case will admit. </w:t>
      </w:r>
      <w:r w:rsidR="001421FB" w:rsidRPr="00F844C6">
        <w:rPr>
          <w:shd w:val="clear" w:color="auto" w:fill="FFFFFF"/>
        </w:rPr>
        <w:t>According to</w:t>
      </w:r>
      <w:r w:rsidR="001421FB" w:rsidRPr="00F844C6">
        <w:rPr>
          <w:rStyle w:val="apple-converted-space"/>
          <w:shd w:val="clear" w:color="auto" w:fill="FFFFFF"/>
        </w:rPr>
        <w:t> </w:t>
      </w:r>
      <w:hyperlink r:id="rId8" w:tooltip="Blackstone's Criminal Practice" w:history="1">
        <w:r w:rsidR="001421FB" w:rsidRPr="00F844C6">
          <w:rPr>
            <w:rStyle w:val="Hyperlink"/>
            <w:color w:val="auto"/>
            <w:u w:val="none"/>
            <w:shd w:val="clear" w:color="auto" w:fill="FFFFFF"/>
          </w:rPr>
          <w:t>Blackstone's Criminal Practice</w:t>
        </w:r>
      </w:hyperlink>
      <w:r w:rsidR="001421FB" w:rsidRPr="00F844C6">
        <w:rPr>
          <w:shd w:val="clear" w:color="auto" w:fill="FFFFFF"/>
        </w:rPr>
        <w:t xml:space="preserve">, the best evidence rule in England and Wales, as used in earlier centuries, </w:t>
      </w:r>
      <w:r w:rsidR="001421FB">
        <w:rPr>
          <w:i/>
          <w:shd w:val="clear" w:color="auto" w:fill="FFFFFF"/>
        </w:rPr>
        <w:t>“</w:t>
      </w:r>
      <w:r w:rsidR="001421FB" w:rsidRPr="00FC7B70">
        <w:rPr>
          <w:i/>
          <w:shd w:val="clear" w:color="auto" w:fill="FFFFFF"/>
        </w:rPr>
        <w:t>is now all but defunct”</w:t>
      </w:r>
      <w:r w:rsidR="00141B8C">
        <w:rPr>
          <w:shd w:val="clear" w:color="auto" w:fill="FFFFFF"/>
        </w:rPr>
        <w:t xml:space="preserve"> </w:t>
      </w:r>
      <w:r w:rsidR="001421FB">
        <w:rPr>
          <w:rStyle w:val="apple-converted-space"/>
          <w:shd w:val="clear" w:color="auto" w:fill="FFFFFF"/>
        </w:rPr>
        <w:t>(</w:t>
      </w:r>
      <w:r w:rsidR="001421FB" w:rsidRPr="00F844C6">
        <w:rPr>
          <w:rStyle w:val="HTMLCite"/>
          <w:shd w:val="clear" w:color="auto" w:fill="FFFFFF"/>
        </w:rPr>
        <w:t xml:space="preserve">Hooper; Ormerod; Murphy; et al. </w:t>
      </w:r>
      <w:r w:rsidR="001421FB" w:rsidRPr="00F844C6">
        <w:rPr>
          <w:rStyle w:val="HTMLCite"/>
          <w:shd w:val="clear" w:color="auto" w:fill="FFFFFF"/>
        </w:rPr>
        <w:lastRenderedPageBreak/>
        <w:t>(eds.).</w:t>
      </w:r>
      <w:r w:rsidR="001421FB" w:rsidRPr="00F844C6">
        <w:rPr>
          <w:rStyle w:val="apple-converted-space"/>
          <w:i/>
          <w:iCs/>
          <w:shd w:val="clear" w:color="auto" w:fill="FFFFFF"/>
        </w:rPr>
        <w:t> </w:t>
      </w:r>
      <w:r w:rsidR="001421FB" w:rsidRPr="00F844C6">
        <w:rPr>
          <w:rStyle w:val="HTMLCite"/>
          <w:shd w:val="clear" w:color="auto" w:fill="FFFFFF"/>
        </w:rPr>
        <w:t>Blackstone's Criminal Practice</w:t>
      </w:r>
      <w:r w:rsidR="001421FB" w:rsidRPr="00F844C6">
        <w:rPr>
          <w:rStyle w:val="apple-converted-space"/>
          <w:i/>
          <w:iCs/>
          <w:shd w:val="clear" w:color="auto" w:fill="FFFFFF"/>
        </w:rPr>
        <w:t> </w:t>
      </w:r>
      <w:r w:rsidR="00141B8C">
        <w:rPr>
          <w:rStyle w:val="HTMLCite"/>
          <w:shd w:val="clear" w:color="auto" w:fill="FFFFFF"/>
        </w:rPr>
        <w:t>(2008 ed.).</w:t>
      </w:r>
      <w:r w:rsidR="001421FB" w:rsidRPr="00F844C6">
        <w:rPr>
          <w:rStyle w:val="HTMLCite"/>
          <w:shd w:val="clear" w:color="auto" w:fill="FFFFFF"/>
        </w:rPr>
        <w:t>Oxford. p. 2285.</w:t>
      </w:r>
      <w:r w:rsidR="001421FB" w:rsidRPr="00F844C6">
        <w:rPr>
          <w:rStyle w:val="apple-converted-space"/>
          <w:i/>
          <w:iCs/>
          <w:shd w:val="clear" w:color="auto" w:fill="FFFFFF"/>
        </w:rPr>
        <w:t> </w:t>
      </w:r>
      <w:hyperlink r:id="rId9" w:tooltip="ISBN (identifier)" w:history="1">
        <w:r w:rsidR="001421FB" w:rsidRPr="00F844C6">
          <w:rPr>
            <w:rStyle w:val="Hyperlink"/>
            <w:i/>
            <w:iCs/>
            <w:color w:val="auto"/>
            <w:shd w:val="clear" w:color="auto" w:fill="FFFFFF"/>
          </w:rPr>
          <w:t>ISBN</w:t>
        </w:r>
      </w:hyperlink>
      <w:r w:rsidR="001421FB" w:rsidRPr="00F844C6">
        <w:rPr>
          <w:rStyle w:val="HTMLCite"/>
          <w:shd w:val="clear" w:color="auto" w:fill="FFFFFF"/>
        </w:rPr>
        <w:t> </w:t>
      </w:r>
      <w:hyperlink r:id="rId10" w:tooltip="Special:BookSources/978-0-19-922814-0" w:history="1">
        <w:r w:rsidR="001421FB" w:rsidRPr="00F844C6">
          <w:rPr>
            <w:rStyle w:val="Hyperlink"/>
            <w:i/>
            <w:iCs/>
            <w:color w:val="auto"/>
            <w:shd w:val="clear" w:color="auto" w:fill="FFFFFF"/>
          </w:rPr>
          <w:t>978-0-19-922814-0</w:t>
        </w:r>
      </w:hyperlink>
      <w:r w:rsidR="001421FB" w:rsidRPr="00FC7B70">
        <w:rPr>
          <w:rStyle w:val="Hyperlink"/>
          <w:iCs/>
          <w:color w:val="auto"/>
          <w:shd w:val="clear" w:color="auto" w:fill="FFFFFF"/>
        </w:rPr>
        <w:t>)</w:t>
      </w:r>
      <w:r w:rsidR="001421FB" w:rsidRPr="00F844C6">
        <w:rPr>
          <w:rStyle w:val="HTMLCite"/>
          <w:shd w:val="clear" w:color="auto" w:fill="FFFFFF"/>
        </w:rPr>
        <w:t>.</w:t>
      </w:r>
    </w:p>
    <w:p w14:paraId="7B005363" w14:textId="004F8A86" w:rsidR="00F844C6" w:rsidRDefault="001A0023" w:rsidP="001A0023">
      <w:pPr>
        <w:pStyle w:val="JudgmentText"/>
        <w:numPr>
          <w:ilvl w:val="0"/>
          <w:numId w:val="3"/>
        </w:numPr>
        <w:tabs>
          <w:tab w:val="left" w:pos="720"/>
        </w:tabs>
      </w:pPr>
      <w:r w:rsidRPr="00F844C6">
        <w:t xml:space="preserve">Nevertheless, judges continue to employ the expression ‘best evidence’ from time to time, if only to signify that there may have existed more immediate or compelling means of establishing a particular fact than the evidence actually adduced (see, for example, </w:t>
      </w:r>
      <w:r w:rsidRPr="00AB10CA">
        <w:rPr>
          <w:i/>
          <w:u w:val="single"/>
        </w:rPr>
        <w:t xml:space="preserve">JF </w:t>
      </w:r>
      <w:r w:rsidRPr="00AB10CA">
        <w:rPr>
          <w:u w:val="single"/>
        </w:rPr>
        <w:t>[2002] EWCA Crim 2936</w:t>
      </w:r>
      <w:r w:rsidRPr="00F844C6">
        <w:t xml:space="preserve"> per Bell J at [32]). Generally speaking, therefore, the position is well expressed </w:t>
      </w:r>
      <w:r w:rsidR="000D3B49">
        <w:t xml:space="preserve">in </w:t>
      </w:r>
      <w:r w:rsidR="000D3B49" w:rsidRPr="00AB10CA">
        <w:rPr>
          <w:i/>
          <w:u w:val="single"/>
        </w:rPr>
        <w:t>Haddow v Glasgow</w:t>
      </w:r>
      <w:r w:rsidR="000D3B49" w:rsidRPr="00AB10CA">
        <w:rPr>
          <w:u w:val="single"/>
        </w:rPr>
        <w:t xml:space="preserve"> </w:t>
      </w:r>
      <w:r w:rsidR="000D3B49" w:rsidRPr="00AB10CA">
        <w:rPr>
          <w:i/>
          <w:u w:val="single"/>
        </w:rPr>
        <w:t>City Council</w:t>
      </w:r>
      <w:r w:rsidR="000D3B49" w:rsidRPr="00AB10CA">
        <w:rPr>
          <w:u w:val="single"/>
        </w:rPr>
        <w:t>, 2005 SLT 1219</w:t>
      </w:r>
      <w:r w:rsidR="000D3B49">
        <w:t xml:space="preserve"> by Lord Macphail at [14]</w:t>
      </w:r>
      <w:r w:rsidR="00141B8C">
        <w:t xml:space="preserve">, </w:t>
      </w:r>
      <w:r w:rsidRPr="00F844C6">
        <w:t xml:space="preserve">who declared that </w:t>
      </w:r>
      <w:r w:rsidR="000D3B49" w:rsidRPr="00141B8C">
        <w:rPr>
          <w:i/>
        </w:rPr>
        <w:t>“</w:t>
      </w:r>
      <w:r w:rsidRPr="00141B8C">
        <w:rPr>
          <w:i/>
        </w:rPr>
        <w:t>the “best evidence rule” is not a general exclusionary rule of evidence but a counsel of prudence</w:t>
      </w:r>
      <w:r w:rsidR="000D3B49" w:rsidRPr="00141B8C">
        <w:rPr>
          <w:i/>
        </w:rPr>
        <w:t>”.</w:t>
      </w:r>
    </w:p>
    <w:p w14:paraId="568BFB98" w14:textId="2743FB25" w:rsidR="00F844C6" w:rsidRDefault="002C568A" w:rsidP="001A0023">
      <w:pPr>
        <w:pStyle w:val="JudgmentText"/>
        <w:numPr>
          <w:ilvl w:val="0"/>
          <w:numId w:val="3"/>
        </w:numPr>
        <w:tabs>
          <w:tab w:val="left" w:pos="720"/>
        </w:tabs>
      </w:pPr>
      <w:r>
        <w:t>Several digital devices</w:t>
      </w:r>
      <w:r w:rsidR="00B45DFA">
        <w:t>,</w:t>
      </w:r>
      <w:r>
        <w:t xml:space="preserve"> seized at the premises of the 1</w:t>
      </w:r>
      <w:r w:rsidRPr="00AB10CA">
        <w:rPr>
          <w:vertAlign w:val="superscript"/>
        </w:rPr>
        <w:t>st</w:t>
      </w:r>
      <w:r>
        <w:t>, 2</w:t>
      </w:r>
      <w:r w:rsidRPr="00AB10CA">
        <w:rPr>
          <w:vertAlign w:val="superscript"/>
        </w:rPr>
        <w:t>nd</w:t>
      </w:r>
      <w:r>
        <w:t xml:space="preserve"> and 3</w:t>
      </w:r>
      <w:r w:rsidRPr="00AB10CA">
        <w:rPr>
          <w:vertAlign w:val="superscript"/>
        </w:rPr>
        <w:t>rd</w:t>
      </w:r>
      <w:r w:rsidR="00B45DFA">
        <w:t xml:space="preserve"> accused, </w:t>
      </w:r>
      <w:r w:rsidR="004417EE" w:rsidRPr="00F844C6">
        <w:t xml:space="preserve">which are considered as real evidence are not relevant and probative of the prosecution case. Hence </w:t>
      </w:r>
      <w:r w:rsidR="004417EE" w:rsidRPr="00F844C6">
        <w:lastRenderedPageBreak/>
        <w:t xml:space="preserve">tendering them in evidence per se in order to meet the best evidence </w:t>
      </w:r>
      <w:r>
        <w:t>r</w:t>
      </w:r>
      <w:r w:rsidR="004417EE" w:rsidRPr="00F844C6">
        <w:t>ule would make little sense.</w:t>
      </w:r>
    </w:p>
    <w:p w14:paraId="533FCF28" w14:textId="7BA9737D" w:rsidR="00F844C6" w:rsidRDefault="004417EE" w:rsidP="001A0023">
      <w:pPr>
        <w:pStyle w:val="JudgmentText"/>
        <w:numPr>
          <w:ilvl w:val="0"/>
          <w:numId w:val="3"/>
        </w:numPr>
        <w:tabs>
          <w:tab w:val="left" w:pos="720"/>
        </w:tabs>
      </w:pPr>
      <w:r w:rsidRPr="00F844C6">
        <w:t>To the contrary</w:t>
      </w:r>
      <w:r w:rsidR="002C568A">
        <w:t>,</w:t>
      </w:r>
      <w:r w:rsidRPr="00F844C6">
        <w:t xml:space="preserve"> it appears that some documents found on </w:t>
      </w:r>
      <w:r w:rsidR="002C568A">
        <w:t>these</w:t>
      </w:r>
      <w:r w:rsidR="002C568A" w:rsidRPr="00F844C6">
        <w:t xml:space="preserve"> </w:t>
      </w:r>
      <w:r w:rsidRPr="00F844C6">
        <w:t>devices have been found to be relevant and probative of their case</w:t>
      </w:r>
      <w:r w:rsidR="002C568A">
        <w:t>. These are the documents that the</w:t>
      </w:r>
      <w:r w:rsidRPr="00F844C6">
        <w:t xml:space="preserve"> </w:t>
      </w:r>
      <w:r w:rsidR="00983016">
        <w:t>P</w:t>
      </w:r>
      <w:r w:rsidRPr="00F844C6">
        <w:t>rosecution is attempt</w:t>
      </w:r>
      <w:r w:rsidR="00647F4E" w:rsidRPr="00F844C6">
        <w:t>ing to produce in this case. I am of the view that the</w:t>
      </w:r>
      <w:r w:rsidRPr="00F844C6">
        <w:t xml:space="preserve"> test of best evidence has to apply to these documents as found in digital format on the relevant devices. These are the documents contained in digital format in </w:t>
      </w:r>
      <w:r w:rsidR="00983016">
        <w:t>item</w:t>
      </w:r>
      <w:r w:rsidRPr="00F844C6">
        <w:t xml:space="preserve"> P1</w:t>
      </w:r>
      <w:r w:rsidR="00647F4E" w:rsidRPr="00F844C6">
        <w:t>6</w:t>
      </w:r>
      <w:r w:rsidR="007C5FEF">
        <w:t xml:space="preserve"> </w:t>
      </w:r>
      <w:r w:rsidR="00647F4E" w:rsidRPr="00F844C6">
        <w:t>(a)</w:t>
      </w:r>
      <w:r w:rsidRPr="00F844C6">
        <w:t xml:space="preserve"> and in hard physical format </w:t>
      </w:r>
      <w:r w:rsidR="002C568A">
        <w:t>as</w:t>
      </w:r>
      <w:r w:rsidR="00647F4E" w:rsidRPr="00F844C6">
        <w:t xml:space="preserve"> item </w:t>
      </w:r>
      <w:r w:rsidR="002C568A">
        <w:t>P</w:t>
      </w:r>
      <w:r w:rsidR="00647F4E" w:rsidRPr="00F844C6">
        <w:t>17 to item P19</w:t>
      </w:r>
      <w:r w:rsidR="00175DE1" w:rsidRPr="00F844C6">
        <w:t xml:space="preserve"> and no other items. It is </w:t>
      </w:r>
      <w:r w:rsidR="002C568A">
        <w:t>these documents</w:t>
      </w:r>
      <w:r w:rsidR="002C568A" w:rsidRPr="00F844C6">
        <w:t xml:space="preserve"> </w:t>
      </w:r>
      <w:r w:rsidR="00647F4E" w:rsidRPr="00F844C6">
        <w:t xml:space="preserve">that need to </w:t>
      </w:r>
      <w:r w:rsidR="002C568A">
        <w:t>pass</w:t>
      </w:r>
      <w:r w:rsidR="002C568A" w:rsidRPr="00F844C6">
        <w:t xml:space="preserve"> </w:t>
      </w:r>
      <w:r w:rsidR="00647F4E" w:rsidRPr="00F844C6">
        <w:t>the test of best evidence.</w:t>
      </w:r>
    </w:p>
    <w:p w14:paraId="51FB22AC" w14:textId="552CECB2" w:rsidR="00F844C6" w:rsidRPr="00F844C6" w:rsidRDefault="00647F4E" w:rsidP="00F844C6">
      <w:pPr>
        <w:pStyle w:val="JudgmentText"/>
        <w:numPr>
          <w:ilvl w:val="0"/>
          <w:numId w:val="3"/>
        </w:numPr>
        <w:tabs>
          <w:tab w:val="left" w:pos="720"/>
        </w:tabs>
      </w:pPr>
      <w:r w:rsidRPr="00F844C6">
        <w:t xml:space="preserve">There are ample evidence led before this </w:t>
      </w:r>
      <w:r w:rsidR="002C568A">
        <w:t>C</w:t>
      </w:r>
      <w:r w:rsidRPr="00F844C6">
        <w:t>ourt that the electron</w:t>
      </w:r>
      <w:r w:rsidR="00621828" w:rsidRPr="00F844C6">
        <w:t>ic documents found in item P16</w:t>
      </w:r>
      <w:r w:rsidR="007C5FEF">
        <w:t xml:space="preserve"> </w:t>
      </w:r>
      <w:r w:rsidR="00621828" w:rsidRPr="00F844C6">
        <w:t>(a</w:t>
      </w:r>
      <w:r w:rsidRPr="00F844C6">
        <w:t>) has been mirrored and are an exact match of the originals found in thei</w:t>
      </w:r>
      <w:r w:rsidR="00142A39" w:rsidRPr="00F844C6">
        <w:t>r electronic devices seized from the accused premises.</w:t>
      </w:r>
      <w:r w:rsidR="002C568A">
        <w:t xml:space="preserve"> </w:t>
      </w:r>
      <w:r w:rsidRPr="00F844C6">
        <w:t xml:space="preserve">To this </w:t>
      </w:r>
      <w:r w:rsidR="002C568A">
        <w:lastRenderedPageBreak/>
        <w:t>C</w:t>
      </w:r>
      <w:r w:rsidRPr="00F844C6">
        <w:t>ourt this mirroring of the original satisfies the requirements to make them the originals or as good as their original</w:t>
      </w:r>
      <w:r w:rsidR="00983016">
        <w:t>s</w:t>
      </w:r>
      <w:r w:rsidR="00175DE1" w:rsidRPr="00F844C6">
        <w:t xml:space="preserve"> and hence </w:t>
      </w:r>
      <w:r w:rsidR="00983016">
        <w:t xml:space="preserve">to </w:t>
      </w:r>
      <w:r w:rsidR="00175DE1" w:rsidRPr="00F844C6">
        <w:t>be the best evidence</w:t>
      </w:r>
      <w:r w:rsidRPr="00F844C6">
        <w:t>.</w:t>
      </w:r>
      <w:r w:rsidR="002C568A">
        <w:t xml:space="preserve"> </w:t>
      </w:r>
      <w:r w:rsidRPr="00F844C6">
        <w:t xml:space="preserve">The old common law </w:t>
      </w:r>
      <w:r w:rsidR="002C568A">
        <w:t>r</w:t>
      </w:r>
      <w:r w:rsidRPr="00F844C6">
        <w:t>ule of best ev</w:t>
      </w:r>
      <w:r w:rsidR="00141B8C">
        <w:t>idence goes back to</w:t>
      </w:r>
      <w:r w:rsidR="002C568A" w:rsidRPr="00F844C6">
        <w:rPr>
          <w:shd w:val="clear" w:color="auto" w:fill="FFFFFF"/>
        </w:rPr>
        <w:t xml:space="preserve"> </w:t>
      </w:r>
      <w:r w:rsidRPr="00F844C6">
        <w:rPr>
          <w:shd w:val="clear" w:color="auto" w:fill="FFFFFF"/>
        </w:rPr>
        <w:t>a time when copies would be rewritten by hand and hence more vulnerable to inaccuracies.</w:t>
      </w:r>
      <w:r w:rsidR="00175DE1" w:rsidRPr="00F844C6">
        <w:rPr>
          <w:shd w:val="clear" w:color="auto" w:fill="FFFFFF"/>
        </w:rPr>
        <w:t xml:space="preserve"> </w:t>
      </w:r>
      <w:r w:rsidRPr="00F844C6">
        <w:rPr>
          <w:shd w:val="clear" w:color="auto" w:fill="FFFFFF"/>
        </w:rPr>
        <w:t>This is a bygone era as shown even by English case law</w:t>
      </w:r>
      <w:r w:rsidR="002C568A">
        <w:rPr>
          <w:shd w:val="clear" w:color="auto" w:fill="FFFFFF"/>
        </w:rPr>
        <w:t>.</w:t>
      </w:r>
      <w:r w:rsidR="00175DE1" w:rsidRPr="00F844C6">
        <w:rPr>
          <w:shd w:val="clear" w:color="auto" w:fill="FFFFFF"/>
        </w:rPr>
        <w:t xml:space="preserve"> </w:t>
      </w:r>
      <w:r w:rsidR="002C568A">
        <w:rPr>
          <w:shd w:val="clear" w:color="auto" w:fill="FFFFFF"/>
        </w:rPr>
        <w:t>The</w:t>
      </w:r>
      <w:r w:rsidRPr="00F844C6">
        <w:rPr>
          <w:shd w:val="clear" w:color="auto" w:fill="FFFFFF"/>
        </w:rPr>
        <w:t xml:space="preserve"> current tech</w:t>
      </w:r>
      <w:r w:rsidR="00FF3FBD" w:rsidRPr="00F844C6">
        <w:rPr>
          <w:shd w:val="clear" w:color="auto" w:fill="FFFFFF"/>
        </w:rPr>
        <w:t xml:space="preserve">nology replicates the originals to the extent that </w:t>
      </w:r>
      <w:r w:rsidR="00175DE1" w:rsidRPr="00F844C6">
        <w:rPr>
          <w:shd w:val="clear" w:color="auto" w:fill="FFFFFF"/>
        </w:rPr>
        <w:t>that it can be argued that there can be more than one original</w:t>
      </w:r>
      <w:r w:rsidR="00FF3FBD" w:rsidRPr="00F844C6">
        <w:rPr>
          <w:shd w:val="clear" w:color="auto" w:fill="FFFFFF"/>
        </w:rPr>
        <w:t xml:space="preserve">. I am satisfied that all the documents contained in </w:t>
      </w:r>
      <w:r w:rsidR="00983016">
        <w:rPr>
          <w:shd w:val="clear" w:color="auto" w:fill="FFFFFF"/>
        </w:rPr>
        <w:t>i</w:t>
      </w:r>
      <w:r w:rsidR="00FF3FBD" w:rsidRPr="00F844C6">
        <w:rPr>
          <w:shd w:val="clear" w:color="auto" w:fill="FFFFFF"/>
        </w:rPr>
        <w:t>tem P16</w:t>
      </w:r>
      <w:r w:rsidR="00D73448">
        <w:rPr>
          <w:shd w:val="clear" w:color="auto" w:fill="FFFFFF"/>
        </w:rPr>
        <w:t xml:space="preserve"> (a)</w:t>
      </w:r>
      <w:r w:rsidR="00FF3FBD" w:rsidRPr="00F844C6">
        <w:rPr>
          <w:shd w:val="clear" w:color="auto" w:fill="FFFFFF"/>
        </w:rPr>
        <w:t xml:space="preserve"> are</w:t>
      </w:r>
      <w:r w:rsidR="00175DE1" w:rsidRPr="00F844C6">
        <w:rPr>
          <w:shd w:val="clear" w:color="auto" w:fill="FFFFFF"/>
        </w:rPr>
        <w:t xml:space="preserve"> beyond a reasonable doubts</w:t>
      </w:r>
      <w:r w:rsidR="00F844C6">
        <w:rPr>
          <w:shd w:val="clear" w:color="auto" w:fill="FFFFFF"/>
        </w:rPr>
        <w:t xml:space="preserve"> </w:t>
      </w:r>
      <w:r w:rsidR="00FF3FBD" w:rsidRPr="00F844C6">
        <w:rPr>
          <w:shd w:val="clear" w:color="auto" w:fill="FFFFFF"/>
        </w:rPr>
        <w:t xml:space="preserve">exact copies of their originals and hence </w:t>
      </w:r>
      <w:r w:rsidR="002C568A">
        <w:rPr>
          <w:shd w:val="clear" w:color="auto" w:fill="FFFFFF"/>
        </w:rPr>
        <w:t>meet</w:t>
      </w:r>
      <w:r w:rsidR="002C568A" w:rsidRPr="00F844C6">
        <w:rPr>
          <w:shd w:val="clear" w:color="auto" w:fill="FFFFFF"/>
        </w:rPr>
        <w:t xml:space="preserve"> </w:t>
      </w:r>
      <w:r w:rsidR="00FF3FBD" w:rsidRPr="00F844C6">
        <w:rPr>
          <w:shd w:val="clear" w:color="auto" w:fill="FFFFFF"/>
        </w:rPr>
        <w:t xml:space="preserve">the best evidence </w:t>
      </w:r>
      <w:r w:rsidR="002C568A">
        <w:rPr>
          <w:shd w:val="clear" w:color="auto" w:fill="FFFFFF"/>
        </w:rPr>
        <w:t>r</w:t>
      </w:r>
      <w:r w:rsidR="00FF3FBD" w:rsidRPr="00F844C6">
        <w:rPr>
          <w:shd w:val="clear" w:color="auto" w:fill="FFFFFF"/>
        </w:rPr>
        <w:t xml:space="preserve">ule. </w:t>
      </w:r>
      <w:r w:rsidR="00983016">
        <w:rPr>
          <w:shd w:val="clear" w:color="auto" w:fill="FFFFFF"/>
        </w:rPr>
        <w:t>The Defence, having had disclosure of the documents,</w:t>
      </w:r>
      <w:r w:rsidR="00FF3FBD" w:rsidRPr="00F844C6">
        <w:rPr>
          <w:shd w:val="clear" w:color="auto" w:fill="FFFFFF"/>
        </w:rPr>
        <w:t xml:space="preserve"> would be entitled to see whether there are any inaccuracies or inconsistence and bring that forward as part of their cases</w:t>
      </w:r>
      <w:r w:rsidR="00983016">
        <w:rPr>
          <w:shd w:val="clear" w:color="auto" w:fill="FFFFFF"/>
        </w:rPr>
        <w:t>.</w:t>
      </w:r>
      <w:r w:rsidR="00175DE1" w:rsidRPr="00F844C6">
        <w:rPr>
          <w:shd w:val="clear" w:color="auto" w:fill="FFFFFF"/>
        </w:rPr>
        <w:t xml:space="preserve"> </w:t>
      </w:r>
      <w:r w:rsidR="00FF3FBD" w:rsidRPr="00F844C6">
        <w:rPr>
          <w:shd w:val="clear" w:color="auto" w:fill="FFFFFF"/>
        </w:rPr>
        <w:t>The printout</w:t>
      </w:r>
      <w:r w:rsidR="00983016">
        <w:rPr>
          <w:shd w:val="clear" w:color="auto" w:fill="FFFFFF"/>
        </w:rPr>
        <w:t>s</w:t>
      </w:r>
      <w:r w:rsidR="00FF3FBD" w:rsidRPr="00F844C6">
        <w:rPr>
          <w:shd w:val="clear" w:color="auto" w:fill="FFFFFF"/>
        </w:rPr>
        <w:t xml:space="preserve"> a</w:t>
      </w:r>
      <w:r w:rsidR="00175DE1" w:rsidRPr="00F844C6">
        <w:rPr>
          <w:shd w:val="clear" w:color="auto" w:fill="FFFFFF"/>
        </w:rPr>
        <w:t>re only copies of the originals</w:t>
      </w:r>
      <w:r w:rsidR="00FF3FBD" w:rsidRPr="00F844C6">
        <w:rPr>
          <w:shd w:val="clear" w:color="auto" w:fill="FFFFFF"/>
        </w:rPr>
        <w:t>, given that their origin</w:t>
      </w:r>
      <w:r w:rsidR="00175DE1" w:rsidRPr="00F844C6">
        <w:rPr>
          <w:shd w:val="clear" w:color="auto" w:fill="FFFFFF"/>
        </w:rPr>
        <w:t>al digital versi</w:t>
      </w:r>
      <w:r w:rsidR="00FF3FBD" w:rsidRPr="00F844C6">
        <w:rPr>
          <w:shd w:val="clear" w:color="auto" w:fill="FFFFFF"/>
        </w:rPr>
        <w:t xml:space="preserve">ons are admissible, they would be admissible as copies of their electronically stored </w:t>
      </w:r>
      <w:r w:rsidR="00FF3FBD" w:rsidRPr="00F844C6">
        <w:rPr>
          <w:shd w:val="clear" w:color="auto" w:fill="FFFFFF"/>
        </w:rPr>
        <w:lastRenderedPageBreak/>
        <w:t>versions and would hence be admitted</w:t>
      </w:r>
      <w:r w:rsidR="00983016">
        <w:rPr>
          <w:shd w:val="clear" w:color="auto" w:fill="FFFFFF"/>
        </w:rPr>
        <w:t>.</w:t>
      </w:r>
      <w:r w:rsidR="00FF3FBD" w:rsidRPr="00F844C6">
        <w:rPr>
          <w:shd w:val="clear" w:color="auto" w:fill="FFFFFF"/>
        </w:rPr>
        <w:t xml:space="preserve"> </w:t>
      </w:r>
      <w:r w:rsidR="00983016">
        <w:rPr>
          <w:shd w:val="clear" w:color="auto" w:fill="FFFFFF"/>
        </w:rPr>
        <w:t>T</w:t>
      </w:r>
      <w:r w:rsidR="00FF3FBD" w:rsidRPr="00F844C6">
        <w:rPr>
          <w:shd w:val="clear" w:color="auto" w:fill="FFFFFF"/>
        </w:rPr>
        <w:t>his would go a</w:t>
      </w:r>
      <w:r w:rsidR="00175DE1" w:rsidRPr="00F844C6">
        <w:rPr>
          <w:shd w:val="clear" w:color="auto" w:fill="FFFFFF"/>
        </w:rPr>
        <w:t xml:space="preserve"> </w:t>
      </w:r>
      <w:r w:rsidR="00FF3FBD" w:rsidRPr="00F844C6">
        <w:rPr>
          <w:shd w:val="clear" w:color="auto" w:fill="FFFFFF"/>
        </w:rPr>
        <w:t>long way in facilita</w:t>
      </w:r>
      <w:r w:rsidR="00175DE1" w:rsidRPr="00F844C6">
        <w:rPr>
          <w:shd w:val="clear" w:color="auto" w:fill="FFFFFF"/>
        </w:rPr>
        <w:t>ting referencing of the documen</w:t>
      </w:r>
      <w:r w:rsidR="00FF3FBD" w:rsidRPr="00F844C6">
        <w:rPr>
          <w:shd w:val="clear" w:color="auto" w:fill="FFFFFF"/>
        </w:rPr>
        <w:t>t by the court, who would otherwise</w:t>
      </w:r>
      <w:r w:rsidR="00175DE1" w:rsidRPr="00F844C6">
        <w:rPr>
          <w:shd w:val="clear" w:color="auto" w:fill="FFFFFF"/>
        </w:rPr>
        <w:t xml:space="preserve"> </w:t>
      </w:r>
      <w:r w:rsidR="00983016">
        <w:rPr>
          <w:shd w:val="clear" w:color="auto" w:fill="FFFFFF"/>
        </w:rPr>
        <w:t>have</w:t>
      </w:r>
      <w:r w:rsidR="00983016" w:rsidRPr="00F844C6">
        <w:rPr>
          <w:shd w:val="clear" w:color="auto" w:fill="FFFFFF"/>
        </w:rPr>
        <w:t xml:space="preserve"> </w:t>
      </w:r>
      <w:r w:rsidR="00FF3FBD" w:rsidRPr="00F844C6">
        <w:rPr>
          <w:shd w:val="clear" w:color="auto" w:fill="FFFFFF"/>
        </w:rPr>
        <w:t xml:space="preserve">to open up </w:t>
      </w:r>
      <w:r w:rsidR="00983016">
        <w:rPr>
          <w:shd w:val="clear" w:color="auto" w:fill="FFFFFF"/>
        </w:rPr>
        <w:t>documents’</w:t>
      </w:r>
      <w:r w:rsidR="00983016" w:rsidRPr="00F844C6">
        <w:rPr>
          <w:shd w:val="clear" w:color="auto" w:fill="FFFFFF"/>
        </w:rPr>
        <w:t xml:space="preserve"> </w:t>
      </w:r>
      <w:r w:rsidR="00FF3FBD" w:rsidRPr="00F844C6">
        <w:rPr>
          <w:shd w:val="clear" w:color="auto" w:fill="FFFFFF"/>
        </w:rPr>
        <w:t>mirrored versions on an electronic device.</w:t>
      </w:r>
    </w:p>
    <w:p w14:paraId="2A6E04F7" w14:textId="5A470A00" w:rsidR="00F844C6" w:rsidRDefault="00AA6D61" w:rsidP="00F844C6">
      <w:pPr>
        <w:pStyle w:val="JudgmentText"/>
        <w:numPr>
          <w:ilvl w:val="0"/>
          <w:numId w:val="3"/>
        </w:numPr>
        <w:tabs>
          <w:tab w:val="left" w:pos="720"/>
        </w:tabs>
      </w:pPr>
      <w:r w:rsidRPr="00F844C6">
        <w:rPr>
          <w:shd w:val="clear" w:color="auto" w:fill="FFFFFF"/>
        </w:rPr>
        <w:t>Mr Hoareau</w:t>
      </w:r>
      <w:r w:rsidR="00983016">
        <w:rPr>
          <w:shd w:val="clear" w:color="auto" w:fill="FFFFFF"/>
        </w:rPr>
        <w:t>,</w:t>
      </w:r>
      <w:r w:rsidRPr="00F844C6">
        <w:rPr>
          <w:shd w:val="clear" w:color="auto" w:fill="FFFFFF"/>
        </w:rPr>
        <w:t xml:space="preserve"> on the other ha</w:t>
      </w:r>
      <w:r w:rsidR="00983016">
        <w:rPr>
          <w:shd w:val="clear" w:color="auto" w:fill="FFFFFF"/>
        </w:rPr>
        <w:t>n</w:t>
      </w:r>
      <w:r w:rsidRPr="00F844C6">
        <w:rPr>
          <w:shd w:val="clear" w:color="auto" w:fill="FFFFFF"/>
        </w:rPr>
        <w:t>d</w:t>
      </w:r>
      <w:r w:rsidR="00983016">
        <w:rPr>
          <w:shd w:val="clear" w:color="auto" w:fill="FFFFFF"/>
        </w:rPr>
        <w:t>,</w:t>
      </w:r>
      <w:r w:rsidRPr="00F844C6">
        <w:rPr>
          <w:shd w:val="clear" w:color="auto" w:fill="FFFFFF"/>
        </w:rPr>
        <w:t xml:space="preserve"> whilst adopting the objection of Mr Zaiwalla</w:t>
      </w:r>
      <w:r w:rsidR="00983016">
        <w:rPr>
          <w:shd w:val="clear" w:color="auto" w:fill="FFFFFF"/>
        </w:rPr>
        <w:t>,</w:t>
      </w:r>
      <w:r w:rsidR="00F844C6">
        <w:rPr>
          <w:shd w:val="clear" w:color="auto" w:fill="FFFFFF"/>
        </w:rPr>
        <w:t xml:space="preserve"> </w:t>
      </w:r>
      <w:r w:rsidRPr="00F844C6">
        <w:rPr>
          <w:shd w:val="clear" w:color="auto" w:fill="FFFFFF"/>
        </w:rPr>
        <w:t>raised another objection to the admissibility of the evidence from the devices.</w:t>
      </w:r>
      <w:r w:rsidRPr="00F844C6">
        <w:t xml:space="preserve"> He</w:t>
      </w:r>
      <w:r w:rsidR="00F844C6">
        <w:t xml:space="preserve"> </w:t>
      </w:r>
      <w:r w:rsidRPr="00F844C6">
        <w:t xml:space="preserve">argued that in this case the chain of custody of </w:t>
      </w:r>
      <w:r w:rsidR="00141B8C">
        <w:t>e</w:t>
      </w:r>
      <w:r w:rsidRPr="00F844C6">
        <w:t>vidence has not been established</w:t>
      </w:r>
      <w:r w:rsidR="00F844C6">
        <w:t xml:space="preserve"> </w:t>
      </w:r>
      <w:r w:rsidRPr="00F844C6">
        <w:t xml:space="preserve">and the Prosecution bears </w:t>
      </w:r>
      <w:r w:rsidR="0050694A">
        <w:t>the</w:t>
      </w:r>
      <w:r w:rsidR="0050694A" w:rsidRPr="00F844C6">
        <w:t xml:space="preserve"> </w:t>
      </w:r>
      <w:r w:rsidRPr="00F844C6">
        <w:t>burden beyond a reasonable doubt to establish that chain of custody prior to the admissibility of item</w:t>
      </w:r>
      <w:r w:rsidR="0050694A">
        <w:t>s</w:t>
      </w:r>
      <w:r w:rsidRPr="00F844C6">
        <w:t xml:space="preserve"> P16 to P19.</w:t>
      </w:r>
      <w:r w:rsidR="00F844C6">
        <w:t xml:space="preserve"> </w:t>
      </w:r>
      <w:r w:rsidRPr="00F844C6">
        <w:t xml:space="preserve">He submitted that it is the authenticity of the exhibit which is in question and this is where the chain of custody </w:t>
      </w:r>
      <w:r w:rsidR="00E86759">
        <w:t>of</w:t>
      </w:r>
      <w:r w:rsidR="00E86759" w:rsidRPr="00F844C6">
        <w:t xml:space="preserve"> </w:t>
      </w:r>
      <w:r w:rsidRPr="00F844C6">
        <w:t>evidence is important to ensure to the court that what was seized or collected form</w:t>
      </w:r>
      <w:r w:rsidR="00E86759">
        <w:t>s</w:t>
      </w:r>
      <w:r w:rsidRPr="00F844C6">
        <w:t xml:space="preserve"> the part of its seizure or its collection</w:t>
      </w:r>
      <w:r w:rsidR="00E86759">
        <w:t xml:space="preserve"> and</w:t>
      </w:r>
      <w:r w:rsidRPr="00F844C6">
        <w:t xml:space="preserve"> is exactly what is produced in court.</w:t>
      </w:r>
      <w:r w:rsidR="00F844C6">
        <w:t xml:space="preserve"> </w:t>
      </w:r>
      <w:r w:rsidRPr="00F844C6">
        <w:t xml:space="preserve">That chain of custody must be </w:t>
      </w:r>
      <w:r w:rsidRPr="00F844C6">
        <w:lastRenderedPageBreak/>
        <w:t xml:space="preserve">established from the point of collection or seizure up </w:t>
      </w:r>
      <w:r w:rsidR="00D16ED9">
        <w:t>un</w:t>
      </w:r>
      <w:r w:rsidR="00D16ED9" w:rsidRPr="00F844C6">
        <w:t>til</w:t>
      </w:r>
      <w:r w:rsidRPr="00F844C6">
        <w:t xml:space="preserve"> the point where that document or exhibit is sought to be produced before the court. </w:t>
      </w:r>
      <w:r w:rsidR="0050694A">
        <w:t>It was submitted that</w:t>
      </w:r>
      <w:r w:rsidRPr="00F844C6">
        <w:t xml:space="preserve"> if the chain of custody </w:t>
      </w:r>
      <w:r w:rsidR="00E86759">
        <w:t>of</w:t>
      </w:r>
      <w:r w:rsidR="00E86759" w:rsidRPr="00F844C6">
        <w:t xml:space="preserve"> </w:t>
      </w:r>
      <w:r w:rsidRPr="00F844C6">
        <w:t xml:space="preserve">evidence is not established that evidence </w:t>
      </w:r>
      <w:r w:rsidR="0050694A">
        <w:t>would</w:t>
      </w:r>
      <w:r w:rsidR="0050694A" w:rsidRPr="00F844C6">
        <w:t xml:space="preserve"> </w:t>
      </w:r>
      <w:r w:rsidRPr="00F844C6">
        <w:t>be rendered inadmissible because the court</w:t>
      </w:r>
      <w:r w:rsidR="0050694A">
        <w:t xml:space="preserve"> would</w:t>
      </w:r>
      <w:r w:rsidR="0050694A" w:rsidRPr="00F844C6">
        <w:t xml:space="preserve"> </w:t>
      </w:r>
      <w:r w:rsidRPr="00F844C6">
        <w:t xml:space="preserve">not be able to ensure that the authenticity of the exhibit has been maintained.  </w:t>
      </w:r>
    </w:p>
    <w:p w14:paraId="59C14175" w14:textId="0C2F4722" w:rsidR="00F844C6" w:rsidRDefault="00E86759" w:rsidP="00F844C6">
      <w:pPr>
        <w:pStyle w:val="JudgmentText"/>
        <w:numPr>
          <w:ilvl w:val="0"/>
          <w:numId w:val="3"/>
        </w:numPr>
        <w:tabs>
          <w:tab w:val="left" w:pos="720"/>
        </w:tabs>
      </w:pPr>
      <w:r>
        <w:t xml:space="preserve">The </w:t>
      </w:r>
      <w:r w:rsidR="0050694A">
        <w:t>Learned counsel</w:t>
      </w:r>
      <w:r w:rsidR="0050694A" w:rsidRPr="00F844C6">
        <w:t xml:space="preserve"> </w:t>
      </w:r>
      <w:r w:rsidR="00971F14" w:rsidRPr="00F844C6">
        <w:t xml:space="preserve">referred to the fact that </w:t>
      </w:r>
      <w:r w:rsidR="00AA6D61" w:rsidRPr="00F844C6">
        <w:t>Vanessa Penfold, the Principal Exhibit Officer at ACCS</w:t>
      </w:r>
      <w:r w:rsidR="002B2F3E">
        <w:t>,</w:t>
      </w:r>
      <w:r w:rsidR="00971F14" w:rsidRPr="00F844C6">
        <w:t xml:space="preserve"> has not been called by the </w:t>
      </w:r>
      <w:r>
        <w:t>P</w:t>
      </w:r>
      <w:r w:rsidR="00971F14" w:rsidRPr="00F844C6">
        <w:t>rosecution and</w:t>
      </w:r>
      <w:r>
        <w:t>,</w:t>
      </w:r>
      <w:r w:rsidR="00971F14" w:rsidRPr="00F844C6">
        <w:t xml:space="preserve"> as she was in the custody chain</w:t>
      </w:r>
      <w:r>
        <w:t>,</w:t>
      </w:r>
      <w:r w:rsidR="00F844C6">
        <w:t xml:space="preserve"> </w:t>
      </w:r>
      <w:r w:rsidR="00AA6D61" w:rsidRPr="00F844C6">
        <w:t>there is a break in the chain of custody of the evidence.</w:t>
      </w:r>
      <w:r w:rsidR="00971F14" w:rsidRPr="00F844C6">
        <w:t xml:space="preserve"> He also submitted on instances where the materials sought to be produce</w:t>
      </w:r>
      <w:r w:rsidR="002B2F3E">
        <w:t>d</w:t>
      </w:r>
      <w:r w:rsidR="00971F14" w:rsidRPr="00F844C6">
        <w:t xml:space="preserve"> were taken from devices</w:t>
      </w:r>
      <w:r>
        <w:t>,</w:t>
      </w:r>
      <w:r w:rsidR="00971F14" w:rsidRPr="00F844C6">
        <w:t xml:space="preserve"> which had not been produced before the court</w:t>
      </w:r>
      <w:r>
        <w:t>,</w:t>
      </w:r>
      <w:r w:rsidR="00971F14" w:rsidRPr="00F844C6">
        <w:t xml:space="preserve"> and that these has not been produced</w:t>
      </w:r>
      <w:r w:rsidR="00EB6126" w:rsidRPr="00F844C6">
        <w:t xml:space="preserve"> by the </w:t>
      </w:r>
      <w:r>
        <w:t>P</w:t>
      </w:r>
      <w:r w:rsidR="00EB6126" w:rsidRPr="00F844C6">
        <w:t>rosecution.</w:t>
      </w:r>
    </w:p>
    <w:p w14:paraId="65F91B84" w14:textId="02C4DD23" w:rsidR="00F844C6" w:rsidRPr="00F844C6" w:rsidRDefault="00EB6126" w:rsidP="00F844C6">
      <w:pPr>
        <w:pStyle w:val="JudgmentText"/>
        <w:numPr>
          <w:ilvl w:val="0"/>
          <w:numId w:val="3"/>
        </w:numPr>
        <w:tabs>
          <w:tab w:val="left" w:pos="720"/>
        </w:tabs>
      </w:pPr>
      <w:r w:rsidRPr="00F844C6">
        <w:lastRenderedPageBreak/>
        <w:t>I have given careful attention to the submission of Mr Hoareau and agree totally with him of the need for the court to ensure that the Prosecution proves that it has established the chain of evidence or custody. This is essential for the court to ensure that the authenticity and the integrity of any seized material</w:t>
      </w:r>
      <w:r w:rsidR="003A2E0D">
        <w:t>s</w:t>
      </w:r>
      <w:r w:rsidRPr="00F844C6">
        <w:t xml:space="preserve"> </w:t>
      </w:r>
      <w:r w:rsidR="003A2E0D">
        <w:t>is</w:t>
      </w:r>
      <w:r w:rsidR="003A2E0D" w:rsidRPr="00F844C6">
        <w:t xml:space="preserve"> </w:t>
      </w:r>
      <w:r w:rsidRPr="00F844C6">
        <w:t>preserve from the time of seizure to the time of production in court.</w:t>
      </w:r>
      <w:r w:rsidR="002B2F3E">
        <w:t xml:space="preserve"> </w:t>
      </w:r>
      <w:r w:rsidR="006A149A" w:rsidRPr="00F844C6">
        <w:rPr>
          <w:bCs/>
          <w:shd w:val="clear" w:color="auto" w:fill="FFFFFF"/>
        </w:rPr>
        <w:t>Chain of custody</w:t>
      </w:r>
      <w:r w:rsidR="006A149A" w:rsidRPr="00F844C6">
        <w:rPr>
          <w:shd w:val="clear" w:color="auto" w:fill="FFFFFF"/>
        </w:rPr>
        <w:t>, in legal contexts, is the chronological documentation or</w:t>
      </w:r>
      <w:r w:rsidR="006A149A" w:rsidRPr="00F844C6">
        <w:rPr>
          <w:rStyle w:val="apple-converted-space"/>
          <w:shd w:val="clear" w:color="auto" w:fill="FFFFFF"/>
        </w:rPr>
        <w:t> </w:t>
      </w:r>
      <w:hyperlink r:id="rId11" w:tooltip="wiktionary:paper trail" w:history="1">
        <w:r w:rsidR="006A149A" w:rsidRPr="00F844C6">
          <w:rPr>
            <w:rStyle w:val="Hyperlink"/>
            <w:color w:val="auto"/>
            <w:u w:val="none"/>
            <w:shd w:val="clear" w:color="auto" w:fill="FFFFFF"/>
          </w:rPr>
          <w:t>paper trail</w:t>
        </w:r>
      </w:hyperlink>
      <w:r w:rsidR="006A149A" w:rsidRPr="00F844C6">
        <w:rPr>
          <w:rStyle w:val="apple-converted-space"/>
          <w:shd w:val="clear" w:color="auto" w:fill="FFFFFF"/>
        </w:rPr>
        <w:t> </w:t>
      </w:r>
      <w:r w:rsidR="006A149A" w:rsidRPr="00F844C6">
        <w:rPr>
          <w:shd w:val="clear" w:color="auto" w:fill="FFFFFF"/>
        </w:rPr>
        <w:t xml:space="preserve">that records the sequence of custody, control, transfer, analysis, and disposition of materials, including physical or electronic evidence. </w:t>
      </w:r>
      <w:r w:rsidR="002B2F3E">
        <w:rPr>
          <w:shd w:val="clear" w:color="auto" w:fill="FFFFFF"/>
        </w:rPr>
        <w:t>Chain of custody is of</w:t>
      </w:r>
      <w:r w:rsidR="002B2F3E" w:rsidRPr="00F844C6">
        <w:rPr>
          <w:shd w:val="clear" w:color="auto" w:fill="FFFFFF"/>
        </w:rPr>
        <w:t xml:space="preserve"> </w:t>
      </w:r>
      <w:r w:rsidR="006A149A" w:rsidRPr="00F844C6">
        <w:rPr>
          <w:shd w:val="clear" w:color="auto" w:fill="FFFFFF"/>
        </w:rPr>
        <w:t xml:space="preserve">particular importance in criminal cases. When evidence can be used in court to convict persons of crimes, it must be handled in a scrupulously careful manner to prevent tampering or contamination. The idea behind recording the </w:t>
      </w:r>
      <w:r w:rsidR="006A149A" w:rsidRPr="00AB10CA">
        <w:rPr>
          <w:iCs/>
          <w:shd w:val="clear" w:color="auto" w:fill="FFFFFF"/>
        </w:rPr>
        <w:t>chain of custody</w:t>
      </w:r>
      <w:r w:rsidR="006A149A" w:rsidRPr="00F844C6">
        <w:rPr>
          <w:rStyle w:val="apple-converted-space"/>
          <w:shd w:val="clear" w:color="auto" w:fill="FFFFFF"/>
        </w:rPr>
        <w:t> </w:t>
      </w:r>
      <w:r w:rsidR="006A149A" w:rsidRPr="00F844C6">
        <w:rPr>
          <w:shd w:val="clear" w:color="auto" w:fill="FFFFFF"/>
        </w:rPr>
        <w:t xml:space="preserve">is to establish that the alleged evidence is in fact related to the alleged crime, rather than having, for example, </w:t>
      </w:r>
      <w:r w:rsidR="006A149A" w:rsidRPr="00F844C6">
        <w:rPr>
          <w:shd w:val="clear" w:color="auto" w:fill="FFFFFF"/>
        </w:rPr>
        <w:lastRenderedPageBreak/>
        <w:t>be</w:t>
      </w:r>
      <w:r w:rsidR="002B2F3E">
        <w:rPr>
          <w:shd w:val="clear" w:color="auto" w:fill="FFFFFF"/>
        </w:rPr>
        <w:t>e</w:t>
      </w:r>
      <w:r w:rsidR="006A149A" w:rsidRPr="00F844C6">
        <w:rPr>
          <w:shd w:val="clear" w:color="auto" w:fill="FFFFFF"/>
        </w:rPr>
        <w:t xml:space="preserve">n planted so as to make someone appear guilty. This </w:t>
      </w:r>
      <w:r w:rsidR="003A2E0D">
        <w:rPr>
          <w:shd w:val="clear" w:color="auto" w:fill="FFFFFF"/>
        </w:rPr>
        <w:t>constitutes</w:t>
      </w:r>
      <w:r w:rsidR="006A149A" w:rsidRPr="00F844C6">
        <w:rPr>
          <w:shd w:val="clear" w:color="auto" w:fill="FFFFFF"/>
        </w:rPr>
        <w:t xml:space="preserve"> part of the facts of the case that the prosecution must prove beyond a reasonable doubt.</w:t>
      </w:r>
    </w:p>
    <w:p w14:paraId="20A17404" w14:textId="10A42D91" w:rsidR="00F844C6" w:rsidRDefault="006A149A" w:rsidP="00F844C6">
      <w:pPr>
        <w:pStyle w:val="JudgmentText"/>
        <w:numPr>
          <w:ilvl w:val="0"/>
          <w:numId w:val="3"/>
        </w:numPr>
        <w:tabs>
          <w:tab w:val="left" w:pos="720"/>
        </w:tabs>
      </w:pPr>
      <w:r w:rsidRPr="00F844C6">
        <w:rPr>
          <w:shd w:val="clear" w:color="auto" w:fill="FFFFFF"/>
        </w:rPr>
        <w:t xml:space="preserve">I have carefully scrutinized the evidence led by the </w:t>
      </w:r>
      <w:r w:rsidR="00B850A5">
        <w:rPr>
          <w:shd w:val="clear" w:color="auto" w:fill="FFFFFF"/>
        </w:rPr>
        <w:t>P</w:t>
      </w:r>
      <w:r w:rsidRPr="00F844C6">
        <w:rPr>
          <w:shd w:val="clear" w:color="auto" w:fill="FFFFFF"/>
        </w:rPr>
        <w:t xml:space="preserve">rosecution in the light of this objection in order to see whether there has been any break in the </w:t>
      </w:r>
      <w:r w:rsidR="00B850A5">
        <w:rPr>
          <w:shd w:val="clear" w:color="auto" w:fill="FFFFFF"/>
        </w:rPr>
        <w:t xml:space="preserve">chain of </w:t>
      </w:r>
      <w:r w:rsidRPr="00F844C6">
        <w:rPr>
          <w:shd w:val="clear" w:color="auto" w:fill="FFFFFF"/>
        </w:rPr>
        <w:t>custody of the materials found in item</w:t>
      </w:r>
      <w:r w:rsidR="00B850A5">
        <w:rPr>
          <w:shd w:val="clear" w:color="auto" w:fill="FFFFFF"/>
        </w:rPr>
        <w:t>s</w:t>
      </w:r>
      <w:r w:rsidRPr="00F844C6">
        <w:rPr>
          <w:shd w:val="clear" w:color="auto" w:fill="FFFFFF"/>
        </w:rPr>
        <w:t xml:space="preserve"> </w:t>
      </w:r>
      <w:r w:rsidR="00B850A5">
        <w:rPr>
          <w:shd w:val="clear" w:color="auto" w:fill="FFFFFF"/>
        </w:rPr>
        <w:t>P</w:t>
      </w:r>
      <w:r w:rsidRPr="00F844C6">
        <w:rPr>
          <w:shd w:val="clear" w:color="auto" w:fill="FFFFFF"/>
        </w:rPr>
        <w:t>16</w:t>
      </w:r>
      <w:r w:rsidR="007C5FEF">
        <w:rPr>
          <w:shd w:val="clear" w:color="auto" w:fill="FFFFFF"/>
        </w:rPr>
        <w:t xml:space="preserve"> </w:t>
      </w:r>
      <w:r w:rsidRPr="00F844C6">
        <w:rPr>
          <w:shd w:val="clear" w:color="auto" w:fill="FFFFFF"/>
        </w:rPr>
        <w:t>(a) to P19 from the time that they and the devices in which they were contained were seized at the premises of the 1</w:t>
      </w:r>
      <w:r w:rsidRPr="00F844C6">
        <w:rPr>
          <w:shd w:val="clear" w:color="auto" w:fill="FFFFFF"/>
          <w:vertAlign w:val="superscript"/>
        </w:rPr>
        <w:t>st</w:t>
      </w:r>
      <w:r w:rsidR="00142A39" w:rsidRPr="00F844C6">
        <w:rPr>
          <w:shd w:val="clear" w:color="auto" w:fill="FFFFFF"/>
        </w:rPr>
        <w:t xml:space="preserve"> ,</w:t>
      </w:r>
      <w:r w:rsidRPr="00F844C6">
        <w:rPr>
          <w:shd w:val="clear" w:color="auto" w:fill="FFFFFF"/>
        </w:rPr>
        <w:t xml:space="preserve"> 2</w:t>
      </w:r>
      <w:r w:rsidRPr="00F844C6">
        <w:rPr>
          <w:shd w:val="clear" w:color="auto" w:fill="FFFFFF"/>
          <w:vertAlign w:val="superscript"/>
        </w:rPr>
        <w:t>nd</w:t>
      </w:r>
      <w:r w:rsidR="00F844C6">
        <w:rPr>
          <w:shd w:val="clear" w:color="auto" w:fill="FFFFFF"/>
        </w:rPr>
        <w:t xml:space="preserve">  </w:t>
      </w:r>
      <w:r w:rsidR="00142A39" w:rsidRPr="00F844C6">
        <w:rPr>
          <w:shd w:val="clear" w:color="auto" w:fill="FFFFFF"/>
        </w:rPr>
        <w:t>and 3</w:t>
      </w:r>
      <w:r w:rsidR="00142A39" w:rsidRPr="00F844C6">
        <w:rPr>
          <w:shd w:val="clear" w:color="auto" w:fill="FFFFFF"/>
          <w:vertAlign w:val="superscript"/>
        </w:rPr>
        <w:t>rd</w:t>
      </w:r>
      <w:r w:rsidR="00F844C6">
        <w:rPr>
          <w:shd w:val="clear" w:color="auto" w:fill="FFFFFF"/>
          <w:vertAlign w:val="superscript"/>
        </w:rPr>
        <w:t xml:space="preserve">  </w:t>
      </w:r>
      <w:r w:rsidR="00142A39" w:rsidRPr="00F844C6">
        <w:rPr>
          <w:shd w:val="clear" w:color="auto" w:fill="FFFFFF"/>
        </w:rPr>
        <w:t>accused</w:t>
      </w:r>
      <w:r w:rsidR="00F844C6">
        <w:rPr>
          <w:shd w:val="clear" w:color="auto" w:fill="FFFFFF"/>
        </w:rPr>
        <w:t xml:space="preserve">  </w:t>
      </w:r>
      <w:r w:rsidRPr="00F844C6">
        <w:rPr>
          <w:shd w:val="clear" w:color="auto" w:fill="FFFFFF"/>
        </w:rPr>
        <w:t>to the time that they were produced in court. I have given careful consideration to the testimony</w:t>
      </w:r>
      <w:r w:rsidR="00EB6126" w:rsidRPr="00F844C6">
        <w:rPr>
          <w:shd w:val="clear" w:color="auto" w:fill="FFFFFF"/>
        </w:rPr>
        <w:t xml:space="preserve"> of all the officers involved in the handling of the impugned documents, that is that of</w:t>
      </w:r>
      <w:r w:rsidR="00F844C6">
        <w:rPr>
          <w:shd w:val="clear" w:color="auto" w:fill="FFFFFF"/>
        </w:rPr>
        <w:t xml:space="preserve"> </w:t>
      </w:r>
      <w:r w:rsidRPr="00F844C6">
        <w:t>Nadine Morel</w:t>
      </w:r>
      <w:r w:rsidR="00B850A5">
        <w:t>,</w:t>
      </w:r>
      <w:r w:rsidRPr="00F844C6">
        <w:t xml:space="preserve"> Kevin Stephenson</w:t>
      </w:r>
      <w:r w:rsidR="00B850A5">
        <w:t>,</w:t>
      </w:r>
      <w:r w:rsidRPr="00F844C6">
        <w:t xml:space="preserve"> Mr Shafiq Andrade</w:t>
      </w:r>
      <w:r w:rsidR="008B5089" w:rsidRPr="00F844C6">
        <w:t>,</w:t>
      </w:r>
      <w:r w:rsidRPr="00F844C6">
        <w:t xml:space="preserve"> </w:t>
      </w:r>
      <w:r w:rsidR="00142A39" w:rsidRPr="00F844C6">
        <w:t>Mr Steven Sadler,</w:t>
      </w:r>
      <w:r w:rsidRPr="00F844C6">
        <w:t xml:space="preserve"> Maureen Young</w:t>
      </w:r>
      <w:r w:rsidR="008B5089" w:rsidRPr="00F844C6">
        <w:t>,</w:t>
      </w:r>
      <w:r w:rsidRPr="00F844C6">
        <w:t xml:space="preserve"> Ryan Durup</w:t>
      </w:r>
      <w:r w:rsidR="008B5089" w:rsidRPr="00F844C6">
        <w:t>, Rory Price, Aubrey Labiche and</w:t>
      </w:r>
      <w:r w:rsidR="00AB10CA">
        <w:t xml:space="preserve"> </w:t>
      </w:r>
      <w:r w:rsidR="008B5089" w:rsidRPr="00F844C6">
        <w:t>Mr David Cox</w:t>
      </w:r>
      <w:r w:rsidR="00EB6126" w:rsidRPr="00F844C6">
        <w:t>.</w:t>
      </w:r>
      <w:r w:rsidR="008B5089" w:rsidRPr="00F844C6">
        <w:t xml:space="preserve"> Having done this</w:t>
      </w:r>
      <w:r w:rsidR="00B850A5">
        <w:t>,</w:t>
      </w:r>
      <w:r w:rsidR="008B5089" w:rsidRPr="00F844C6">
        <w:t xml:space="preserve"> I am of the view that the Prosecution has managed to prove beyond a </w:t>
      </w:r>
      <w:r w:rsidR="008B5089" w:rsidRPr="00F844C6">
        <w:lastRenderedPageBreak/>
        <w:t>reasonable doubt that the digital documents found in item P16</w:t>
      </w:r>
      <w:r w:rsidR="007C5FEF">
        <w:t xml:space="preserve"> </w:t>
      </w:r>
      <w:r w:rsidR="008B5089" w:rsidRPr="00F844C6">
        <w:t>(</w:t>
      </w:r>
      <w:r w:rsidR="00B850A5">
        <w:t>a</w:t>
      </w:r>
      <w:r w:rsidR="008B5089" w:rsidRPr="00F844C6">
        <w:t>)</w:t>
      </w:r>
      <w:r w:rsidR="00B850A5">
        <w:t xml:space="preserve">, </w:t>
      </w:r>
      <w:r w:rsidR="008B5089" w:rsidRPr="00F844C6">
        <w:t>item P17</w:t>
      </w:r>
      <w:r w:rsidR="00B850A5">
        <w:t>,</w:t>
      </w:r>
      <w:r w:rsidR="008B5089" w:rsidRPr="00F844C6">
        <w:t xml:space="preserve"> item P18</w:t>
      </w:r>
      <w:r w:rsidR="00B850A5">
        <w:t>, and</w:t>
      </w:r>
      <w:r w:rsidR="008B5089" w:rsidRPr="00F844C6">
        <w:t xml:space="preserve"> item P19 are the same one</w:t>
      </w:r>
      <w:r w:rsidR="00B850A5">
        <w:t>s</w:t>
      </w:r>
      <w:r w:rsidR="008B5089" w:rsidRPr="00F844C6">
        <w:t xml:space="preserve"> that were seized from the digital devices at the </w:t>
      </w:r>
      <w:r w:rsidR="00B850A5">
        <w:t>residence</w:t>
      </w:r>
      <w:r w:rsidR="008B5089" w:rsidRPr="00F844C6">
        <w:t xml:space="preserve"> of the 1</w:t>
      </w:r>
      <w:r w:rsidR="008B5089" w:rsidRPr="00F844C6">
        <w:rPr>
          <w:vertAlign w:val="superscript"/>
        </w:rPr>
        <w:t>st</w:t>
      </w:r>
      <w:r w:rsidR="00B850A5">
        <w:t xml:space="preserve">, </w:t>
      </w:r>
      <w:r w:rsidR="00142A39" w:rsidRPr="00F844C6">
        <w:t>2</w:t>
      </w:r>
      <w:r w:rsidR="00142A39" w:rsidRPr="00F844C6">
        <w:rPr>
          <w:vertAlign w:val="superscript"/>
        </w:rPr>
        <w:t>nd</w:t>
      </w:r>
      <w:r w:rsidR="00142A39" w:rsidRPr="00F844C6">
        <w:t xml:space="preserve"> and 3</w:t>
      </w:r>
      <w:r w:rsidR="00142A39" w:rsidRPr="00F844C6">
        <w:rPr>
          <w:vertAlign w:val="superscript"/>
        </w:rPr>
        <w:t>rd</w:t>
      </w:r>
      <w:r w:rsidR="00142A39" w:rsidRPr="00F844C6">
        <w:t xml:space="preserve"> accused at the time</w:t>
      </w:r>
      <w:r w:rsidR="00B850A5">
        <w:t>,</w:t>
      </w:r>
      <w:r w:rsidR="00142A39" w:rsidRPr="00F844C6">
        <w:t xml:space="preserve"> date and by the respective witnesses of the Prosecution</w:t>
      </w:r>
      <w:r w:rsidR="008B5089" w:rsidRPr="00F844C6">
        <w:t>.</w:t>
      </w:r>
    </w:p>
    <w:p w14:paraId="6CEC87DB" w14:textId="77777777" w:rsidR="00F844C6" w:rsidRDefault="00142A39" w:rsidP="00F844C6">
      <w:pPr>
        <w:pStyle w:val="JudgmentText"/>
        <w:numPr>
          <w:ilvl w:val="0"/>
          <w:numId w:val="3"/>
        </w:numPr>
        <w:tabs>
          <w:tab w:val="left" w:pos="720"/>
        </w:tabs>
      </w:pPr>
      <w:r w:rsidRPr="00F844C6">
        <w:t>In my final determination, I accordingly rule that the said items can be produced in evidence by the Republic as part of their case.</w:t>
      </w:r>
    </w:p>
    <w:p w14:paraId="4924C48F" w14:textId="77777777" w:rsidR="00F844C6" w:rsidRPr="00F844C6" w:rsidRDefault="00F844C6" w:rsidP="00F844C6">
      <w:pPr>
        <w:ind w:left="720"/>
        <w:rPr>
          <w:rFonts w:ascii="Times New Roman" w:hAnsi="Times New Roman" w:cs="Times New Roman"/>
          <w:sz w:val="24"/>
          <w:szCs w:val="24"/>
        </w:rPr>
      </w:pPr>
    </w:p>
    <w:p w14:paraId="22958049" w14:textId="7828B6A5" w:rsidR="00F844C6" w:rsidRPr="00F844C6" w:rsidRDefault="00F844C6" w:rsidP="00F844C6">
      <w:pPr>
        <w:tabs>
          <w:tab w:val="left" w:pos="720"/>
        </w:tabs>
        <w:ind w:left="720"/>
        <w:rPr>
          <w:rFonts w:ascii="Times New Roman" w:hAnsi="Times New Roman" w:cs="Times New Roman"/>
          <w:sz w:val="24"/>
          <w:szCs w:val="24"/>
        </w:rPr>
      </w:pPr>
      <w:r w:rsidRPr="00F844C6">
        <w:rPr>
          <w:rFonts w:ascii="Times New Roman" w:hAnsi="Times New Roman" w:cs="Times New Roman"/>
          <w:sz w:val="24"/>
          <w:szCs w:val="24"/>
        </w:rPr>
        <w:t>Signed, dated and delivered at Ile Du Port on</w:t>
      </w:r>
      <w:r>
        <w:rPr>
          <w:rFonts w:ascii="Times New Roman" w:hAnsi="Times New Roman" w:cs="Times New Roman"/>
          <w:sz w:val="24"/>
          <w:szCs w:val="24"/>
        </w:rPr>
        <w:t xml:space="preserve"> </w:t>
      </w:r>
      <w:r w:rsidR="00573773">
        <w:rPr>
          <w:rFonts w:ascii="Times New Roman" w:hAnsi="Times New Roman" w:cs="Times New Roman"/>
          <w:sz w:val="24"/>
          <w:szCs w:val="24"/>
        </w:rPr>
        <w:t>19</w:t>
      </w:r>
      <w:r w:rsidR="00B850A5" w:rsidRPr="00AB10CA">
        <w:rPr>
          <w:rFonts w:ascii="Times New Roman" w:hAnsi="Times New Roman" w:cs="Times New Roman"/>
          <w:sz w:val="24"/>
          <w:szCs w:val="24"/>
          <w:vertAlign w:val="superscript"/>
        </w:rPr>
        <w:t>th</w:t>
      </w:r>
      <w:r>
        <w:rPr>
          <w:rFonts w:ascii="Times New Roman" w:hAnsi="Times New Roman" w:cs="Times New Roman"/>
          <w:sz w:val="24"/>
          <w:szCs w:val="24"/>
        </w:rPr>
        <w:t>March</w:t>
      </w:r>
      <w:r w:rsidRPr="00F844C6">
        <w:rPr>
          <w:rFonts w:ascii="Times New Roman" w:hAnsi="Times New Roman" w:cs="Times New Roman"/>
          <w:sz w:val="24"/>
          <w:szCs w:val="24"/>
        </w:rPr>
        <w:t xml:space="preserve"> 2024.</w:t>
      </w:r>
    </w:p>
    <w:p w14:paraId="5C673E4B" w14:textId="77777777" w:rsidR="00F844C6" w:rsidRPr="00F844C6" w:rsidRDefault="00F844C6" w:rsidP="00F844C6">
      <w:pPr>
        <w:tabs>
          <w:tab w:val="left" w:pos="720"/>
        </w:tabs>
        <w:ind w:left="720"/>
        <w:rPr>
          <w:rFonts w:ascii="Times New Roman" w:hAnsi="Times New Roman" w:cs="Times New Roman"/>
          <w:sz w:val="24"/>
          <w:szCs w:val="24"/>
          <w:u w:val="single"/>
        </w:rPr>
      </w:pPr>
    </w:p>
    <w:p w14:paraId="7FCDB1E9" w14:textId="77777777" w:rsidR="00F844C6" w:rsidRPr="00F844C6" w:rsidRDefault="00F844C6" w:rsidP="00F844C6">
      <w:pPr>
        <w:tabs>
          <w:tab w:val="left" w:pos="720"/>
        </w:tabs>
        <w:spacing w:after="0"/>
        <w:ind w:left="720"/>
        <w:rPr>
          <w:rFonts w:ascii="Times New Roman" w:hAnsi="Times New Roman" w:cs="Times New Roman"/>
          <w:sz w:val="24"/>
          <w:szCs w:val="24"/>
          <w:u w:val="single"/>
        </w:rPr>
      </w:pPr>
      <w:r w:rsidRPr="00F844C6">
        <w:rPr>
          <w:rFonts w:ascii="Times New Roman" w:hAnsi="Times New Roman" w:cs="Times New Roman"/>
          <w:sz w:val="24"/>
          <w:szCs w:val="24"/>
          <w:u w:val="single"/>
        </w:rPr>
        <w:tab/>
      </w:r>
      <w:r w:rsidRPr="00F844C6">
        <w:rPr>
          <w:rFonts w:ascii="Times New Roman" w:hAnsi="Times New Roman" w:cs="Times New Roman"/>
          <w:sz w:val="24"/>
          <w:szCs w:val="24"/>
          <w:u w:val="single"/>
        </w:rPr>
        <w:tab/>
      </w:r>
      <w:r w:rsidRPr="00F844C6">
        <w:rPr>
          <w:rFonts w:ascii="Times New Roman" w:hAnsi="Times New Roman" w:cs="Times New Roman"/>
          <w:sz w:val="24"/>
          <w:szCs w:val="24"/>
          <w:u w:val="single"/>
        </w:rPr>
        <w:tab/>
        <w:t xml:space="preserve"> </w:t>
      </w:r>
    </w:p>
    <w:p w14:paraId="112F42B7" w14:textId="77777777" w:rsidR="00F844C6" w:rsidRPr="00F844C6" w:rsidRDefault="00F844C6" w:rsidP="00F844C6">
      <w:pPr>
        <w:tabs>
          <w:tab w:val="left" w:pos="720"/>
        </w:tabs>
        <w:spacing w:after="0" w:line="240" w:lineRule="auto"/>
        <w:ind w:left="720"/>
        <w:rPr>
          <w:rFonts w:ascii="Times New Roman" w:hAnsi="Times New Roman" w:cs="Times New Roman"/>
          <w:sz w:val="24"/>
          <w:szCs w:val="24"/>
        </w:rPr>
      </w:pPr>
      <w:r w:rsidRPr="00F844C6">
        <w:rPr>
          <w:rFonts w:ascii="Times New Roman" w:hAnsi="Times New Roman" w:cs="Times New Roman"/>
          <w:sz w:val="24"/>
          <w:szCs w:val="24"/>
        </w:rPr>
        <w:t>Govinden CJ</w:t>
      </w:r>
    </w:p>
    <w:sectPr w:rsidR="00F844C6" w:rsidRPr="00F844C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424C0" w14:textId="77777777" w:rsidR="006512AD" w:rsidRDefault="006512AD" w:rsidP="008E664F">
      <w:pPr>
        <w:spacing w:after="0" w:line="240" w:lineRule="auto"/>
      </w:pPr>
      <w:r>
        <w:separator/>
      </w:r>
    </w:p>
  </w:endnote>
  <w:endnote w:type="continuationSeparator" w:id="0">
    <w:p w14:paraId="7DD46D2F" w14:textId="77777777" w:rsidR="006512AD" w:rsidRDefault="006512AD" w:rsidP="008E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49288"/>
      <w:docPartObj>
        <w:docPartGallery w:val="Page Numbers (Bottom of Page)"/>
        <w:docPartUnique/>
      </w:docPartObj>
    </w:sdtPr>
    <w:sdtEndPr>
      <w:rPr>
        <w:noProof/>
      </w:rPr>
    </w:sdtEndPr>
    <w:sdtContent>
      <w:p w14:paraId="6B8CCC5A" w14:textId="76F78869" w:rsidR="008E664F" w:rsidRDefault="008E664F">
        <w:pPr>
          <w:pStyle w:val="Footer"/>
          <w:jc w:val="center"/>
        </w:pPr>
        <w:r>
          <w:fldChar w:fldCharType="begin"/>
        </w:r>
        <w:r>
          <w:instrText xml:space="preserve"> PAGE   \* MERGEFORMAT </w:instrText>
        </w:r>
        <w:r>
          <w:fldChar w:fldCharType="separate"/>
        </w:r>
        <w:r w:rsidR="00732021">
          <w:rPr>
            <w:noProof/>
          </w:rPr>
          <w:t>2</w:t>
        </w:r>
        <w:r>
          <w:rPr>
            <w:noProof/>
          </w:rPr>
          <w:fldChar w:fldCharType="end"/>
        </w:r>
      </w:p>
    </w:sdtContent>
  </w:sdt>
  <w:p w14:paraId="41D26B23" w14:textId="77777777" w:rsidR="008E664F" w:rsidRDefault="008E6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6643B" w14:textId="77777777" w:rsidR="006512AD" w:rsidRDefault="006512AD" w:rsidP="008E664F">
      <w:pPr>
        <w:spacing w:after="0" w:line="240" w:lineRule="auto"/>
      </w:pPr>
      <w:r>
        <w:separator/>
      </w:r>
    </w:p>
  </w:footnote>
  <w:footnote w:type="continuationSeparator" w:id="0">
    <w:p w14:paraId="1125E0E1" w14:textId="77777777" w:rsidR="006512AD" w:rsidRDefault="006512AD" w:rsidP="008E6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42D2"/>
    <w:multiLevelType w:val="multilevel"/>
    <w:tmpl w:val="1CC89892"/>
    <w:lvl w:ilvl="0">
      <w:start w:val="1"/>
      <w:numFmt w:val="decimal"/>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1" w15:restartNumberingAfterBreak="0">
    <w:nsid w:val="31513DF1"/>
    <w:multiLevelType w:val="multilevel"/>
    <w:tmpl w:val="1CC89892"/>
    <w:styleLink w:val="Judgments"/>
    <w:lvl w:ilvl="0">
      <w:start w:val="1"/>
      <w:numFmt w:val="decimal"/>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2" w15:restartNumberingAfterBreak="0">
    <w:nsid w:val="64223DAD"/>
    <w:multiLevelType w:val="multilevel"/>
    <w:tmpl w:val="1CC89892"/>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0"/>
    <w:lvlOverride w:ilvl="0">
      <w:lvl w:ilvl="0">
        <w:start w:val="1"/>
        <w:numFmt w:val="decimal"/>
        <w:lvlText w:val="[%1]"/>
        <w:lvlJc w:val="left"/>
        <w:pPr>
          <w:ind w:left="720" w:hanging="720"/>
        </w:pPr>
        <w:rPr>
          <w:rFonts w:ascii="Times New Roman" w:hAnsi="Times New Roman" w:cs="Times New Roman" w:hint="default"/>
          <w:i w:val="0"/>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3">
    <w:abstractNumId w:val="0"/>
    <w:lvlOverride w:ilvl="0">
      <w:lvl w:ilvl="0">
        <w:start w:val="1"/>
        <w:numFmt w:val="decimal"/>
        <w:lvlText w:val="[%1]"/>
        <w:lvlJc w:val="left"/>
        <w:pPr>
          <w:ind w:left="720" w:hanging="720"/>
        </w:pPr>
        <w:rPr>
          <w:rFonts w:ascii="Times New Roman" w:hAnsi="Times New Roman" w:cs="Times New Roman" w:hint="default"/>
          <w:i w:val="0"/>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23"/>
    <w:rsid w:val="00066299"/>
    <w:rsid w:val="00080F5B"/>
    <w:rsid w:val="000D3B49"/>
    <w:rsid w:val="000F2F17"/>
    <w:rsid w:val="00112BBF"/>
    <w:rsid w:val="00141B8C"/>
    <w:rsid w:val="001421FB"/>
    <w:rsid w:val="00142A39"/>
    <w:rsid w:val="00175DE1"/>
    <w:rsid w:val="001A0023"/>
    <w:rsid w:val="00256C66"/>
    <w:rsid w:val="002B2F3E"/>
    <w:rsid w:val="002C568A"/>
    <w:rsid w:val="003A2E0D"/>
    <w:rsid w:val="004417EE"/>
    <w:rsid w:val="0050694A"/>
    <w:rsid w:val="00573773"/>
    <w:rsid w:val="00621828"/>
    <w:rsid w:val="00647F4E"/>
    <w:rsid w:val="006512AD"/>
    <w:rsid w:val="00656483"/>
    <w:rsid w:val="006A149A"/>
    <w:rsid w:val="006A4D16"/>
    <w:rsid w:val="006A71B8"/>
    <w:rsid w:val="006F6550"/>
    <w:rsid w:val="00732021"/>
    <w:rsid w:val="007C5FEF"/>
    <w:rsid w:val="00840B4B"/>
    <w:rsid w:val="008B5089"/>
    <w:rsid w:val="008E664F"/>
    <w:rsid w:val="00946275"/>
    <w:rsid w:val="00971F14"/>
    <w:rsid w:val="00983016"/>
    <w:rsid w:val="00AA6D61"/>
    <w:rsid w:val="00AB10CA"/>
    <w:rsid w:val="00AF7500"/>
    <w:rsid w:val="00B4312D"/>
    <w:rsid w:val="00B45DFA"/>
    <w:rsid w:val="00B850A5"/>
    <w:rsid w:val="00C56331"/>
    <w:rsid w:val="00C63593"/>
    <w:rsid w:val="00D16ED9"/>
    <w:rsid w:val="00D73448"/>
    <w:rsid w:val="00D76CBE"/>
    <w:rsid w:val="00DD6636"/>
    <w:rsid w:val="00E86759"/>
    <w:rsid w:val="00EB6126"/>
    <w:rsid w:val="00F139A3"/>
    <w:rsid w:val="00F31B6D"/>
    <w:rsid w:val="00F844C6"/>
    <w:rsid w:val="00FC186D"/>
    <w:rsid w:val="00FF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FB1C"/>
  <w15:chartTrackingRefBased/>
  <w15:docId w15:val="{6C4EE322-BBF5-42FE-BCB2-D1CDC441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17EE"/>
  </w:style>
  <w:style w:type="character" w:styleId="Hyperlink">
    <w:name w:val="Hyperlink"/>
    <w:basedOn w:val="DefaultParagraphFont"/>
    <w:uiPriority w:val="99"/>
    <w:semiHidden/>
    <w:unhideWhenUsed/>
    <w:rsid w:val="004417EE"/>
    <w:rPr>
      <w:color w:val="0000FF"/>
      <w:u w:val="single"/>
    </w:rPr>
  </w:style>
  <w:style w:type="character" w:styleId="HTMLCite">
    <w:name w:val="HTML Cite"/>
    <w:basedOn w:val="DefaultParagraphFont"/>
    <w:uiPriority w:val="99"/>
    <w:unhideWhenUsed/>
    <w:rsid w:val="004417EE"/>
    <w:rPr>
      <w:i/>
      <w:iCs/>
    </w:rPr>
  </w:style>
  <w:style w:type="paragraph" w:customStyle="1" w:styleId="JudgmentText">
    <w:name w:val="Judgment Text"/>
    <w:basedOn w:val="ListParagraph"/>
    <w:qFormat/>
    <w:rsid w:val="00142A39"/>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paragraph" w:customStyle="1" w:styleId="Partynames">
    <w:name w:val="Party names"/>
    <w:basedOn w:val="Normal"/>
    <w:link w:val="PartynamesChar"/>
    <w:qFormat/>
    <w:rsid w:val="00142A39"/>
    <w:pPr>
      <w:tabs>
        <w:tab w:val="left" w:pos="540"/>
        <w:tab w:val="left" w:pos="5580"/>
      </w:tabs>
      <w:spacing w:before="240" w:after="0" w:line="240" w:lineRule="auto"/>
    </w:pPr>
    <w:rPr>
      <w:rFonts w:ascii="Times New Roman" w:hAnsi="Times New Roman" w:cs="Times New Roman"/>
      <w:b/>
      <w:sz w:val="24"/>
      <w:szCs w:val="24"/>
      <w:lang w:val="en-GB"/>
    </w:rPr>
  </w:style>
  <w:style w:type="paragraph" w:customStyle="1" w:styleId="Attorneysnames">
    <w:name w:val="Attorneys names"/>
    <w:basedOn w:val="Normal"/>
    <w:link w:val="AttorneysnamesChar"/>
    <w:qFormat/>
    <w:rsid w:val="00142A39"/>
    <w:pPr>
      <w:tabs>
        <w:tab w:val="left" w:pos="540"/>
        <w:tab w:val="left" w:pos="4092"/>
        <w:tab w:val="left" w:pos="5580"/>
      </w:tabs>
      <w:spacing w:after="0" w:line="240" w:lineRule="auto"/>
    </w:pPr>
    <w:rPr>
      <w:rFonts w:ascii="Times New Roman" w:hAnsi="Times New Roman" w:cs="Times New Roman"/>
      <w:i/>
      <w:sz w:val="24"/>
      <w:szCs w:val="24"/>
      <w:lang w:val="en-GB"/>
    </w:rPr>
  </w:style>
  <w:style w:type="character" w:customStyle="1" w:styleId="PartynamesChar">
    <w:name w:val="Party names Char"/>
    <w:basedOn w:val="DefaultParagraphFont"/>
    <w:link w:val="Partynames"/>
    <w:rsid w:val="00142A39"/>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142A39"/>
    <w:rPr>
      <w:rFonts w:ascii="Times New Roman" w:hAnsi="Times New Roman" w:cs="Times New Roman"/>
      <w:i/>
      <w:sz w:val="24"/>
      <w:szCs w:val="24"/>
      <w:lang w:val="en-GB"/>
    </w:rPr>
  </w:style>
  <w:style w:type="paragraph" w:styleId="ListParagraph">
    <w:name w:val="List Paragraph"/>
    <w:basedOn w:val="Normal"/>
    <w:link w:val="ListParagraphChar"/>
    <w:uiPriority w:val="34"/>
    <w:qFormat/>
    <w:rsid w:val="00142A39"/>
    <w:pPr>
      <w:ind w:left="720"/>
      <w:contextualSpacing/>
    </w:pPr>
  </w:style>
  <w:style w:type="numbering" w:customStyle="1" w:styleId="Judgments">
    <w:name w:val="Judgments"/>
    <w:uiPriority w:val="99"/>
    <w:rsid w:val="00F844C6"/>
    <w:pPr>
      <w:numPr>
        <w:numId w:val="4"/>
      </w:numPr>
    </w:pPr>
  </w:style>
  <w:style w:type="character" w:customStyle="1" w:styleId="ListParagraphChar">
    <w:name w:val="List Paragraph Char"/>
    <w:basedOn w:val="DefaultParagraphFont"/>
    <w:link w:val="ListParagraph"/>
    <w:uiPriority w:val="34"/>
    <w:locked/>
    <w:rsid w:val="00F844C6"/>
  </w:style>
  <w:style w:type="paragraph" w:styleId="BalloonText">
    <w:name w:val="Balloon Text"/>
    <w:basedOn w:val="Normal"/>
    <w:link w:val="BalloonTextChar"/>
    <w:uiPriority w:val="99"/>
    <w:semiHidden/>
    <w:unhideWhenUsed/>
    <w:rsid w:val="0011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BF"/>
    <w:rPr>
      <w:rFonts w:ascii="Segoe UI" w:hAnsi="Segoe UI" w:cs="Segoe UI"/>
      <w:sz w:val="18"/>
      <w:szCs w:val="18"/>
    </w:rPr>
  </w:style>
  <w:style w:type="character" w:styleId="CommentReference">
    <w:name w:val="annotation reference"/>
    <w:basedOn w:val="DefaultParagraphFont"/>
    <w:uiPriority w:val="99"/>
    <w:semiHidden/>
    <w:unhideWhenUsed/>
    <w:rsid w:val="006A71B8"/>
    <w:rPr>
      <w:sz w:val="16"/>
      <w:szCs w:val="16"/>
    </w:rPr>
  </w:style>
  <w:style w:type="paragraph" w:styleId="CommentText">
    <w:name w:val="annotation text"/>
    <w:basedOn w:val="Normal"/>
    <w:link w:val="CommentTextChar"/>
    <w:uiPriority w:val="99"/>
    <w:semiHidden/>
    <w:unhideWhenUsed/>
    <w:rsid w:val="006A71B8"/>
    <w:pPr>
      <w:spacing w:line="240" w:lineRule="auto"/>
    </w:pPr>
    <w:rPr>
      <w:sz w:val="20"/>
      <w:szCs w:val="20"/>
    </w:rPr>
  </w:style>
  <w:style w:type="character" w:customStyle="1" w:styleId="CommentTextChar">
    <w:name w:val="Comment Text Char"/>
    <w:basedOn w:val="DefaultParagraphFont"/>
    <w:link w:val="CommentText"/>
    <w:uiPriority w:val="99"/>
    <w:semiHidden/>
    <w:rsid w:val="006A71B8"/>
    <w:rPr>
      <w:sz w:val="20"/>
      <w:szCs w:val="20"/>
    </w:rPr>
  </w:style>
  <w:style w:type="paragraph" w:styleId="CommentSubject">
    <w:name w:val="annotation subject"/>
    <w:basedOn w:val="CommentText"/>
    <w:next w:val="CommentText"/>
    <w:link w:val="CommentSubjectChar"/>
    <w:uiPriority w:val="99"/>
    <w:semiHidden/>
    <w:unhideWhenUsed/>
    <w:rsid w:val="006A71B8"/>
    <w:rPr>
      <w:b/>
      <w:bCs/>
    </w:rPr>
  </w:style>
  <w:style w:type="character" w:customStyle="1" w:styleId="CommentSubjectChar">
    <w:name w:val="Comment Subject Char"/>
    <w:basedOn w:val="CommentTextChar"/>
    <w:link w:val="CommentSubject"/>
    <w:uiPriority w:val="99"/>
    <w:semiHidden/>
    <w:rsid w:val="006A71B8"/>
    <w:rPr>
      <w:b/>
      <w:bCs/>
      <w:sz w:val="20"/>
      <w:szCs w:val="20"/>
    </w:rPr>
  </w:style>
  <w:style w:type="paragraph" w:styleId="Header">
    <w:name w:val="header"/>
    <w:basedOn w:val="Normal"/>
    <w:link w:val="HeaderChar"/>
    <w:uiPriority w:val="99"/>
    <w:unhideWhenUsed/>
    <w:rsid w:val="008E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4F"/>
  </w:style>
  <w:style w:type="paragraph" w:styleId="Footer">
    <w:name w:val="footer"/>
    <w:basedOn w:val="Normal"/>
    <w:link w:val="FooterChar"/>
    <w:uiPriority w:val="99"/>
    <w:unhideWhenUsed/>
    <w:rsid w:val="008E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ackstone%27s_Criminal_Prac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Facsimi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tionary.org/wiki/paper_trail" TargetMode="External"/><Relationship Id="rId5" Type="http://schemas.openxmlformats.org/officeDocument/2006/relationships/footnotes" Target="footnotes.xml"/><Relationship Id="rId10" Type="http://schemas.openxmlformats.org/officeDocument/2006/relationships/hyperlink" Target="https://en.wikipedia.org/wiki/Special:BookSources/978-0-19-922814-0" TargetMode="External"/><Relationship Id="rId4" Type="http://schemas.openxmlformats.org/officeDocument/2006/relationships/webSettings" Target="webSettings.xml"/><Relationship Id="rId9" Type="http://schemas.openxmlformats.org/officeDocument/2006/relationships/hyperlink" Target="https://en.wikipedia.org/wiki/ISBN_(identifi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1919</Words>
  <Characters>10941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Govinden</dc:creator>
  <cp:keywords/>
  <dc:description/>
  <cp:lastModifiedBy>shena labrosse</cp:lastModifiedBy>
  <cp:revision>2</cp:revision>
  <cp:lastPrinted>2024-03-19T06:23:00Z</cp:lastPrinted>
  <dcterms:created xsi:type="dcterms:W3CDTF">2024-03-20T10:53:00Z</dcterms:created>
  <dcterms:modified xsi:type="dcterms:W3CDTF">2024-03-20T10:53:00Z</dcterms:modified>
</cp:coreProperties>
</file>