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8D" w:rsidRPr="004A2599" w:rsidRDefault="00D95C8D" w:rsidP="00D95C8D">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D95C8D" w:rsidRPr="004A2599" w:rsidRDefault="00D95C8D" w:rsidP="00D95C8D">
      <w:pPr>
        <w:pBdr>
          <w:bottom w:val="single" w:sz="4" w:space="1" w:color="auto"/>
        </w:pBdr>
        <w:tabs>
          <w:tab w:val="left" w:pos="4092"/>
        </w:tabs>
        <w:spacing w:line="240" w:lineRule="auto"/>
        <w:jc w:val="center"/>
        <w:rPr>
          <w:rFonts w:ascii="Times New Roman" w:hAnsi="Times New Roman" w:cs="Times New Roman"/>
          <w:b/>
          <w:sz w:val="24"/>
          <w:szCs w:val="24"/>
        </w:rPr>
      </w:pPr>
    </w:p>
    <w:p w:rsidR="00D95C8D" w:rsidRPr="00380619" w:rsidRDefault="00D95C8D" w:rsidP="00FC09FC">
      <w:pPr>
        <w:spacing w:after="0" w:line="240" w:lineRule="auto"/>
        <w:ind w:left="702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D95C8D" w:rsidRPr="004A2599" w:rsidRDefault="00D95C8D" w:rsidP="00FC09FC">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 xml:space="preserve">[2022] SCSC </w:t>
      </w:r>
    </w:p>
    <w:p w:rsidR="00D95C8D" w:rsidRPr="004A2599" w:rsidRDefault="00D95C8D" w:rsidP="00FC09FC">
      <w:pPr>
        <w:spacing w:after="0" w:line="240" w:lineRule="auto"/>
        <w:ind w:left="7020" w:firstLine="180"/>
        <w:rPr>
          <w:rFonts w:ascii="Times New Roman" w:hAnsi="Times New Roman" w:cs="Times New Roman"/>
          <w:sz w:val="24"/>
          <w:szCs w:val="24"/>
        </w:rPr>
      </w:pPr>
      <w:r>
        <w:rPr>
          <w:rFonts w:ascii="Times New Roman" w:hAnsi="Times New Roman" w:cs="Times New Roman"/>
          <w:sz w:val="24"/>
          <w:szCs w:val="24"/>
        </w:rPr>
        <w:t>CS 64</w:t>
      </w:r>
      <w:r w:rsidRPr="004A2599">
        <w:rPr>
          <w:rFonts w:ascii="Times New Roman" w:hAnsi="Times New Roman" w:cs="Times New Roman"/>
          <w:sz w:val="24"/>
          <w:szCs w:val="24"/>
        </w:rPr>
        <w:t>/20</w:t>
      </w:r>
      <w:r>
        <w:rPr>
          <w:rFonts w:ascii="Times New Roman" w:hAnsi="Times New Roman" w:cs="Times New Roman"/>
          <w:sz w:val="24"/>
          <w:szCs w:val="24"/>
        </w:rPr>
        <w:t>21</w:t>
      </w:r>
    </w:p>
    <w:p w:rsidR="00D95C8D" w:rsidRPr="004A2599" w:rsidRDefault="00D95C8D" w:rsidP="00D95C8D">
      <w:pPr>
        <w:spacing w:after="0" w:line="240" w:lineRule="auto"/>
        <w:ind w:left="5580"/>
        <w:rPr>
          <w:rFonts w:ascii="Times New Roman" w:hAnsi="Times New Roman" w:cs="Times New Roman"/>
          <w:sz w:val="24"/>
          <w:szCs w:val="24"/>
        </w:rPr>
      </w:pPr>
    </w:p>
    <w:p w:rsidR="00D95C8D" w:rsidRPr="004A2599" w:rsidRDefault="00D95C8D" w:rsidP="00D95C8D">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D95C8D" w:rsidRPr="00214DB4" w:rsidRDefault="00D95C8D" w:rsidP="00D95C8D">
      <w:pPr>
        <w:pStyle w:val="Partynames"/>
      </w:pPr>
      <w:r>
        <w:t>BENOITON CONSTRUCTION COMPANY (PTY) LTD</w:t>
      </w:r>
      <w:r>
        <w:tab/>
      </w:r>
      <w:r>
        <w:tab/>
        <w:t>Plaintiff</w:t>
      </w:r>
    </w:p>
    <w:p w:rsidR="00D95C8D" w:rsidRPr="00214DB4" w:rsidRDefault="00D95C8D" w:rsidP="00D95C8D">
      <w:pPr>
        <w:pStyle w:val="Attorneysnames"/>
      </w:pPr>
      <w:r w:rsidRPr="00214DB4">
        <w:t>(</w:t>
      </w:r>
      <w:proofErr w:type="gramStart"/>
      <w:r w:rsidRPr="00214DB4">
        <w:t>rep</w:t>
      </w:r>
      <w:proofErr w:type="gramEnd"/>
      <w:r w:rsidRPr="00214DB4">
        <w:t>. by</w:t>
      </w:r>
      <w:r>
        <w:t xml:space="preserve"> Basil </w:t>
      </w:r>
      <w:proofErr w:type="spellStart"/>
      <w:r>
        <w:t>Hoareau</w:t>
      </w:r>
      <w:proofErr w:type="spellEnd"/>
      <w:r w:rsidRPr="00214DB4">
        <w:t>)</w:t>
      </w:r>
    </w:p>
    <w:p w:rsidR="00D95C8D" w:rsidRPr="004A2599" w:rsidRDefault="00D95C8D" w:rsidP="00D95C8D">
      <w:pPr>
        <w:tabs>
          <w:tab w:val="left" w:pos="540"/>
          <w:tab w:val="left" w:pos="4092"/>
          <w:tab w:val="left" w:pos="5580"/>
        </w:tabs>
        <w:spacing w:after="0" w:line="240" w:lineRule="auto"/>
        <w:rPr>
          <w:rFonts w:ascii="Times New Roman" w:hAnsi="Times New Roman" w:cs="Times New Roman"/>
          <w:sz w:val="24"/>
          <w:szCs w:val="24"/>
        </w:rPr>
      </w:pPr>
    </w:p>
    <w:p w:rsidR="00D95C8D" w:rsidRPr="004A2599" w:rsidRDefault="00D95C8D" w:rsidP="00D95C8D">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D95C8D" w:rsidRDefault="00D95C8D" w:rsidP="00D95C8D">
      <w:pPr>
        <w:tabs>
          <w:tab w:val="left" w:pos="540"/>
          <w:tab w:val="left" w:pos="5580"/>
          <w:tab w:val="left" w:pos="6480"/>
        </w:tabs>
        <w:spacing w:after="0" w:line="240" w:lineRule="auto"/>
        <w:rPr>
          <w:rFonts w:ascii="Times New Roman" w:hAnsi="Times New Roman" w:cs="Times New Roman"/>
          <w:b/>
          <w:sz w:val="24"/>
          <w:szCs w:val="24"/>
        </w:rPr>
      </w:pPr>
    </w:p>
    <w:p w:rsidR="00D95C8D" w:rsidRDefault="00D95C8D" w:rsidP="00D95C8D">
      <w:pPr>
        <w:pStyle w:val="Partynames"/>
      </w:pPr>
      <w:r>
        <w:t xml:space="preserve">CONSOLIDATED POWER PROJECTS </w:t>
      </w:r>
      <w:r>
        <w:tab/>
      </w:r>
      <w:r>
        <w:tab/>
      </w:r>
      <w:r>
        <w:tab/>
      </w:r>
      <w:r>
        <w:tab/>
        <w:t>Defendant</w:t>
      </w:r>
    </w:p>
    <w:p w:rsidR="00D95C8D" w:rsidRPr="004A2599" w:rsidRDefault="00D95C8D" w:rsidP="00D95C8D">
      <w:pPr>
        <w:pStyle w:val="Partynames"/>
        <w:spacing w:before="0"/>
      </w:pPr>
      <w:r>
        <w:t>GROUP AFRICA LIM</w:t>
      </w:r>
      <w:r w:rsidR="00320BEB">
        <w:t>I</w:t>
      </w:r>
      <w:r>
        <w:t>TED</w:t>
      </w:r>
    </w:p>
    <w:p w:rsidR="00D95C8D" w:rsidRDefault="00D95C8D" w:rsidP="00D95C8D">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Bernard Georges</w:t>
      </w:r>
      <w:r w:rsidRPr="004A2599">
        <w:rPr>
          <w:rFonts w:ascii="Times New Roman" w:hAnsi="Times New Roman" w:cs="Times New Roman"/>
          <w:i/>
          <w:sz w:val="24"/>
          <w:szCs w:val="24"/>
        </w:rPr>
        <w:t>)</w:t>
      </w:r>
    </w:p>
    <w:p w:rsidR="00D95C8D" w:rsidRDefault="00D95C8D" w:rsidP="00D95C8D">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D95C8D" w:rsidRPr="00BB1A3E" w:rsidRDefault="00D95C8D" w:rsidP="00D95C8D">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D95C8D" w:rsidRPr="004A2599" w:rsidRDefault="00D95C8D" w:rsidP="00D95C8D">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i/>
          <w:sz w:val="24"/>
          <w:szCs w:val="24"/>
        </w:rPr>
        <w:t>Benoiton</w:t>
      </w:r>
      <w:proofErr w:type="spellEnd"/>
      <w:r>
        <w:rPr>
          <w:rFonts w:ascii="Times New Roman" w:hAnsi="Times New Roman" w:cs="Times New Roman"/>
          <w:i/>
          <w:sz w:val="24"/>
          <w:szCs w:val="24"/>
        </w:rPr>
        <w:t xml:space="preserve"> Construction </w:t>
      </w:r>
      <w:r w:rsidR="00320BEB" w:rsidRPr="00320BEB">
        <w:rPr>
          <w:rFonts w:ascii="Times New Roman" w:hAnsi="Times New Roman" w:cs="Times New Roman"/>
          <w:i/>
          <w:sz w:val="24"/>
          <w:szCs w:val="24"/>
        </w:rPr>
        <w:t xml:space="preserve">Company (Pty) Ltd </w:t>
      </w:r>
      <w:r w:rsidRPr="004A2599">
        <w:rPr>
          <w:rFonts w:ascii="Times New Roman" w:hAnsi="Times New Roman" w:cs="Times New Roman"/>
          <w:i/>
          <w:sz w:val="24"/>
          <w:szCs w:val="24"/>
        </w:rPr>
        <w:t xml:space="preserve">v </w:t>
      </w:r>
      <w:r>
        <w:rPr>
          <w:rFonts w:ascii="Times New Roman" w:hAnsi="Times New Roman" w:cs="Times New Roman"/>
          <w:i/>
          <w:sz w:val="24"/>
          <w:szCs w:val="24"/>
        </w:rPr>
        <w:t xml:space="preserve">Consolidated Power Projects </w:t>
      </w:r>
      <w:r w:rsidR="00320BEB" w:rsidRPr="00320BEB">
        <w:rPr>
          <w:rFonts w:ascii="Times New Roman" w:hAnsi="Times New Roman" w:cs="Times New Roman"/>
          <w:i/>
          <w:sz w:val="24"/>
          <w:szCs w:val="24"/>
        </w:rPr>
        <w:t>Group Africa Lim</w:t>
      </w:r>
      <w:r w:rsidR="00320BEB">
        <w:rPr>
          <w:rFonts w:ascii="Times New Roman" w:hAnsi="Times New Roman" w:cs="Times New Roman"/>
          <w:i/>
          <w:sz w:val="24"/>
          <w:szCs w:val="24"/>
        </w:rPr>
        <w:t>i</w:t>
      </w:r>
      <w:r w:rsidR="00320BEB" w:rsidRPr="00320BEB">
        <w:rPr>
          <w:rFonts w:ascii="Times New Roman" w:hAnsi="Times New Roman" w:cs="Times New Roman"/>
          <w:i/>
          <w:sz w:val="24"/>
          <w:szCs w:val="24"/>
        </w:rPr>
        <w:t xml:space="preserve">ted </w:t>
      </w:r>
      <w:r w:rsidRPr="004A2599">
        <w:rPr>
          <w:rFonts w:ascii="Times New Roman" w:hAnsi="Times New Roman" w:cs="Times New Roman"/>
          <w:sz w:val="24"/>
          <w:szCs w:val="24"/>
        </w:rPr>
        <w:t>(</w:t>
      </w:r>
      <w:r w:rsidR="00320BEB" w:rsidRPr="00320BEB">
        <w:rPr>
          <w:rFonts w:ascii="Times New Roman" w:hAnsi="Times New Roman" w:cs="Times New Roman"/>
          <w:sz w:val="24"/>
          <w:szCs w:val="24"/>
        </w:rPr>
        <w:t>CS 64/2021</w:t>
      </w:r>
      <w:r>
        <w:rPr>
          <w:rFonts w:ascii="Times New Roman" w:hAnsi="Times New Roman" w:cs="Times New Roman"/>
          <w:sz w:val="24"/>
          <w:szCs w:val="24"/>
        </w:rPr>
        <w:t xml:space="preserve">) </w:t>
      </w:r>
      <w:r w:rsidR="00320BEB">
        <w:rPr>
          <w:rFonts w:ascii="Times New Roman" w:hAnsi="Times New Roman" w:cs="Times New Roman"/>
          <w:sz w:val="24"/>
          <w:szCs w:val="24"/>
        </w:rPr>
        <w:t xml:space="preserve">[2022] SCSC     </w:t>
      </w:r>
      <w:r w:rsidRPr="004A2599">
        <w:rPr>
          <w:rFonts w:ascii="Times New Roman" w:hAnsi="Times New Roman" w:cs="Times New Roman"/>
          <w:sz w:val="24"/>
          <w:szCs w:val="24"/>
        </w:rPr>
        <w:t>(</w:t>
      </w:r>
      <w:r>
        <w:rPr>
          <w:rFonts w:ascii="Times New Roman" w:hAnsi="Times New Roman" w:cs="Times New Roman"/>
          <w:sz w:val="24"/>
          <w:szCs w:val="24"/>
        </w:rPr>
        <w:t>23</w:t>
      </w:r>
      <w:r w:rsidRPr="00D95C8D">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2022)</w:t>
      </w:r>
    </w:p>
    <w:p w:rsidR="00D95C8D" w:rsidRDefault="00D95C8D" w:rsidP="00D95C8D">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Burhan J</w:t>
      </w:r>
    </w:p>
    <w:p w:rsidR="00D95C8D" w:rsidRPr="004A2599" w:rsidRDefault="00D95C8D" w:rsidP="00D95C8D">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 xml:space="preserve">Challenge in jurisdiction </w:t>
      </w:r>
      <w:r w:rsidR="003D7A21">
        <w:rPr>
          <w:rFonts w:ascii="Times New Roman" w:hAnsi="Times New Roman" w:cs="Times New Roman"/>
          <w:sz w:val="24"/>
          <w:szCs w:val="24"/>
        </w:rPr>
        <w:t>in view of arbitration clause</w:t>
      </w:r>
      <w:r>
        <w:rPr>
          <w:rFonts w:ascii="Times New Roman" w:hAnsi="Times New Roman" w:cs="Times New Roman"/>
          <w:sz w:val="24"/>
          <w:szCs w:val="24"/>
        </w:rPr>
        <w:t>.</w:t>
      </w:r>
    </w:p>
    <w:p w:rsidR="00D95C8D" w:rsidRPr="005B12AA" w:rsidRDefault="00D95C8D" w:rsidP="00D95C8D">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052DC5">
        <w:rPr>
          <w:rFonts w:ascii="Times New Roman" w:hAnsi="Times New Roman" w:cs="Times New Roman"/>
          <w:sz w:val="24"/>
          <w:szCs w:val="24"/>
        </w:rPr>
        <w:t xml:space="preserve">09 May </w:t>
      </w:r>
      <w:r w:rsidR="00991810">
        <w:rPr>
          <w:rFonts w:ascii="Times New Roman" w:hAnsi="Times New Roman" w:cs="Times New Roman"/>
          <w:sz w:val="24"/>
          <w:szCs w:val="24"/>
        </w:rPr>
        <w:t>2022 and</w:t>
      </w:r>
      <w:r w:rsidR="00052DC5">
        <w:rPr>
          <w:rFonts w:ascii="Times New Roman" w:hAnsi="Times New Roman" w:cs="Times New Roman"/>
          <w:sz w:val="24"/>
          <w:szCs w:val="24"/>
        </w:rPr>
        <w:t xml:space="preserve"> 07 June 2022</w:t>
      </w:r>
    </w:p>
    <w:p w:rsidR="00D95C8D" w:rsidRPr="007D25FE" w:rsidRDefault="00D95C8D" w:rsidP="00A06C15">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3D7A21">
        <w:rPr>
          <w:rFonts w:ascii="Times New Roman" w:hAnsi="Times New Roman" w:cs="Times New Roman"/>
          <w:sz w:val="24"/>
          <w:szCs w:val="24"/>
        </w:rPr>
        <w:t>23</w:t>
      </w:r>
      <w:r w:rsidR="003D7A21" w:rsidRPr="003D7A21">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3D7A21">
        <w:rPr>
          <w:rFonts w:ascii="Times New Roman" w:hAnsi="Times New Roman" w:cs="Times New Roman"/>
          <w:sz w:val="24"/>
          <w:szCs w:val="24"/>
        </w:rPr>
        <w:t>September</w:t>
      </w:r>
      <w:r>
        <w:rPr>
          <w:rFonts w:ascii="Times New Roman" w:hAnsi="Times New Roman" w:cs="Times New Roman"/>
          <w:sz w:val="24"/>
          <w:szCs w:val="24"/>
        </w:rPr>
        <w:t xml:space="preserve"> 2022</w:t>
      </w:r>
    </w:p>
    <w:p w:rsidR="00D95C8D" w:rsidRDefault="00D95C8D" w:rsidP="00D95C8D">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95C8D" w:rsidRDefault="00D95C8D" w:rsidP="00D95C8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D95C8D" w:rsidRPr="00F33B83" w:rsidRDefault="00D95C8D" w:rsidP="00D95C8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95C8D" w:rsidRPr="004A2599" w:rsidRDefault="00D95C8D" w:rsidP="00D95C8D">
      <w:pPr>
        <w:rPr>
          <w:rFonts w:ascii="Times New Roman" w:hAnsi="Times New Roman" w:cs="Times New Roman"/>
          <w:sz w:val="24"/>
          <w:szCs w:val="24"/>
        </w:rPr>
      </w:pPr>
    </w:p>
    <w:p w:rsidR="00F01E9F" w:rsidRDefault="00D95C8D" w:rsidP="00052DC5">
      <w:pPr>
        <w:pStyle w:val="JudgmentText"/>
        <w:numPr>
          <w:ilvl w:val="0"/>
          <w:numId w:val="0"/>
        </w:numPr>
        <w:spacing w:line="480" w:lineRule="auto"/>
        <w:rPr>
          <w:b/>
        </w:rPr>
      </w:pPr>
      <w:r>
        <w:rPr>
          <w:b/>
        </w:rPr>
        <w:t>BURHAN J</w:t>
      </w:r>
    </w:p>
    <w:p w:rsidR="00052DC5" w:rsidRPr="00052DC5" w:rsidRDefault="00052DC5" w:rsidP="00F01E9F">
      <w:pPr>
        <w:pStyle w:val="JudgmentText"/>
        <w:tabs>
          <w:tab w:val="clear" w:pos="360"/>
          <w:tab w:val="left" w:pos="720"/>
        </w:tabs>
        <w:ind w:hanging="720"/>
        <w:rPr>
          <w:i/>
        </w:rPr>
      </w:pPr>
      <w:r>
        <w:t xml:space="preserve">Learned counsel for the Defendant in his Statement of Defence took up a plea </w:t>
      </w:r>
      <w:r w:rsidRPr="00052DC5">
        <w:rPr>
          <w:i/>
        </w:rPr>
        <w:t xml:space="preserve">in </w:t>
      </w:r>
      <w:proofErr w:type="spellStart"/>
      <w:r w:rsidRPr="00052DC5">
        <w:rPr>
          <w:i/>
        </w:rPr>
        <w:t>limine</w:t>
      </w:r>
      <w:proofErr w:type="spellEnd"/>
      <w:r w:rsidRPr="00052DC5">
        <w:rPr>
          <w:i/>
        </w:rPr>
        <w:t xml:space="preserve"> </w:t>
      </w:r>
      <w:proofErr w:type="spellStart"/>
      <w:r w:rsidRPr="00052DC5">
        <w:rPr>
          <w:i/>
        </w:rPr>
        <w:t>litis</w:t>
      </w:r>
      <w:proofErr w:type="spellEnd"/>
      <w:r w:rsidRPr="00052DC5">
        <w:rPr>
          <w:i/>
        </w:rPr>
        <w:t xml:space="preserve"> </w:t>
      </w:r>
      <w:r>
        <w:t>that both parties had agre</w:t>
      </w:r>
      <w:r w:rsidR="00D72967">
        <w:t>e</w:t>
      </w:r>
      <w:r>
        <w:t xml:space="preserve">d </w:t>
      </w:r>
      <w:r w:rsidR="00D72967">
        <w:t>in the Su</w:t>
      </w:r>
      <w:r w:rsidR="00B33925">
        <w:t xml:space="preserve">bcontract Agreement </w:t>
      </w:r>
      <w:r>
        <w:t>that in the event of a dispute</w:t>
      </w:r>
      <w:r w:rsidR="00D72967">
        <w:t xml:space="preserve"> </w:t>
      </w:r>
      <w:r w:rsidR="00B33925">
        <w:t xml:space="preserve">arising </w:t>
      </w:r>
      <w:r w:rsidR="00D72967">
        <w:t>between the p</w:t>
      </w:r>
      <w:r w:rsidR="00B33925">
        <w:t xml:space="preserve">arties in respect of the agreement, the </w:t>
      </w:r>
      <w:r w:rsidR="00D72967">
        <w:t>dispute should be referred to arbitration.</w:t>
      </w:r>
    </w:p>
    <w:p w:rsidR="00F01E9F" w:rsidRDefault="00F01E9F" w:rsidP="00F01E9F">
      <w:pPr>
        <w:pStyle w:val="JudgmentText"/>
        <w:tabs>
          <w:tab w:val="clear" w:pos="360"/>
          <w:tab w:val="left" w:pos="720"/>
        </w:tabs>
        <w:ind w:hanging="720"/>
      </w:pPr>
      <w:r>
        <w:t xml:space="preserve">The Defendant submits that the Court should declare that it has no jurisdiction to hear this matter and the dispute should be referred to arbitration in terms of arbitration clause in the agreement. The Defendant provided its submissions regarding validity of the arbitration </w:t>
      </w:r>
      <w:r>
        <w:lastRenderedPageBreak/>
        <w:t xml:space="preserve">clause (pages 1-4) and states that the Plaintiff is not calling into question the validity of the agreement or the arbitration clause but resists the application on the basis that </w:t>
      </w:r>
      <w:r>
        <w:rPr>
          <w:i/>
        </w:rPr>
        <w:t xml:space="preserve">“since the Defendant </w:t>
      </w:r>
      <w:r>
        <w:rPr>
          <w:b/>
          <w:i/>
        </w:rPr>
        <w:t>allegedly</w:t>
      </w:r>
      <w:r>
        <w:rPr>
          <w:i/>
        </w:rPr>
        <w:t xml:space="preserve"> made no attempt towards resolving the dispute through adjudication by failing to respond to certain correspondence, the court must now completely disregard the arbitration clause”</w:t>
      </w:r>
      <w:r>
        <w:t xml:space="preserve">. </w:t>
      </w:r>
      <w:r w:rsidR="006B1E41">
        <w:t>Learned Counsel for the Defendant referred to articles 110 (4), 111</w:t>
      </w:r>
      <w:r w:rsidR="008A24BB">
        <w:t xml:space="preserve"> </w:t>
      </w:r>
      <w:r w:rsidR="006B1E41">
        <w:t>(1) and 113 (1) and article 150 of the Commercial Code</w:t>
      </w:r>
      <w:r w:rsidR="008A24BB">
        <w:t>.</w:t>
      </w:r>
    </w:p>
    <w:p w:rsidR="00F01E9F" w:rsidRDefault="00F01E9F" w:rsidP="00F01E9F">
      <w:pPr>
        <w:pStyle w:val="JudgmentText"/>
        <w:tabs>
          <w:tab w:val="clear" w:pos="360"/>
          <w:tab w:val="left" w:pos="720"/>
        </w:tabs>
        <w:ind w:hanging="720"/>
      </w:pPr>
      <w:r>
        <w:t>The Defendant denies the allegation and submits that it is still willing to submit to dispute resolution. T</w:t>
      </w:r>
      <w:r w:rsidR="006B1E41">
        <w:t>he Defendant further relies on article</w:t>
      </w:r>
      <w:r>
        <w:t xml:space="preserve"> 1134 of the Civil Code that agreements once concluded shall have the force of law and both parties shall be obligated to abide by all clauses. The Defendant therefore asks the Court to dismiss the claim for want of jurisdiction or to stay the proceedings pending resolution of the dispute by arbitration.</w:t>
      </w:r>
    </w:p>
    <w:p w:rsidR="00D72967" w:rsidRDefault="00D72967" w:rsidP="00D72967">
      <w:pPr>
        <w:pStyle w:val="JudgmentText"/>
        <w:tabs>
          <w:tab w:val="clear" w:pos="360"/>
          <w:tab w:val="left" w:pos="720"/>
        </w:tabs>
        <w:ind w:hanging="720"/>
      </w:pPr>
      <w:r>
        <w:t>The</w:t>
      </w:r>
      <w:r w:rsidR="007D5A9D">
        <w:t xml:space="preserve"> background facts of the case are that the </w:t>
      </w:r>
      <w:r>
        <w:t xml:space="preserve">Applicant, </w:t>
      </w:r>
      <w:proofErr w:type="spellStart"/>
      <w:r>
        <w:t>Benoiton</w:t>
      </w:r>
      <w:proofErr w:type="spellEnd"/>
      <w:r>
        <w:t xml:space="preserve"> Construction Company Ltd, a company incorporated in Seychelles has filed a civil suit action CS 64/2021 against the Respondent, Consolidated Power Projects Group Africa Limited, a company incorporated in Mauritius (the “main suit”). The main suit’s action was entered on 12</w:t>
      </w:r>
      <w:r w:rsidRPr="00D72967">
        <w:rPr>
          <w:vertAlign w:val="superscript"/>
        </w:rPr>
        <w:t>th</w:t>
      </w:r>
      <w:r>
        <w:t xml:space="preserve"> July 2021 (Plaint dated 5</w:t>
      </w:r>
      <w:r w:rsidRPr="00D72967">
        <w:rPr>
          <w:vertAlign w:val="superscript"/>
        </w:rPr>
        <w:t>th</w:t>
      </w:r>
      <w:r>
        <w:t xml:space="preserve"> July 2021, stamped by Supreme Court 12</w:t>
      </w:r>
      <w:r w:rsidRPr="00D72967">
        <w:rPr>
          <w:vertAlign w:val="superscript"/>
        </w:rPr>
        <w:t>th</w:t>
      </w:r>
      <w:r>
        <w:t xml:space="preserve"> July 2021). The Plaintiff has further filed Notice of Motion, MA 186/2021 dated 27</w:t>
      </w:r>
      <w:r w:rsidRPr="00D72967">
        <w:rPr>
          <w:vertAlign w:val="superscript"/>
        </w:rPr>
        <w:t>th</w:t>
      </w:r>
      <w:r>
        <w:t xml:space="preserve"> July 2021 and stamped 2</w:t>
      </w:r>
      <w:r w:rsidRPr="00D72967">
        <w:rPr>
          <w:vertAlign w:val="superscript"/>
        </w:rPr>
        <w:t>nd</w:t>
      </w:r>
      <w:r>
        <w:t xml:space="preserve"> August 2021 seeking security for damages and costs. Application for security for damages and costs was filed prior to the Statement of Defence in the main suit.</w:t>
      </w:r>
    </w:p>
    <w:p w:rsidR="00D72967" w:rsidRDefault="00D72967" w:rsidP="00D72967">
      <w:pPr>
        <w:pStyle w:val="JudgmentText"/>
        <w:tabs>
          <w:tab w:val="clear" w:pos="360"/>
          <w:tab w:val="left" w:pos="720"/>
        </w:tabs>
        <w:ind w:hanging="720"/>
      </w:pPr>
      <w:r>
        <w:t xml:space="preserve">The Respondent in MA 186/2021 filed </w:t>
      </w:r>
      <w:r w:rsidR="006B1E41">
        <w:t>an affidavit</w:t>
      </w:r>
      <w:r>
        <w:t xml:space="preserve"> in Response to the Motion for Security of Costs dated 15</w:t>
      </w:r>
      <w:r>
        <w:rPr>
          <w:vertAlign w:val="superscript"/>
        </w:rPr>
        <w:t>th</w:t>
      </w:r>
      <w:r>
        <w:t xml:space="preserve"> October 2021, stamped 26</w:t>
      </w:r>
      <w:r>
        <w:rPr>
          <w:vertAlign w:val="superscript"/>
        </w:rPr>
        <w:t>th</w:t>
      </w:r>
      <w:r>
        <w:t xml:space="preserve"> October 2021. The Respondent raised the same issues in the MA 186/2021 </w:t>
      </w:r>
      <w:r w:rsidR="006B1E41">
        <w:t>Affidavit</w:t>
      </w:r>
      <w:r>
        <w:t xml:space="preserve"> (paragraphs 9-11) as in the Statement of Defence in </w:t>
      </w:r>
      <w:proofErr w:type="spellStart"/>
      <w:r>
        <w:t>limine</w:t>
      </w:r>
      <w:proofErr w:type="spellEnd"/>
      <w:r>
        <w:t xml:space="preserve"> </w:t>
      </w:r>
      <w:proofErr w:type="spellStart"/>
      <w:r>
        <w:t>litis</w:t>
      </w:r>
      <w:proofErr w:type="spellEnd"/>
      <w:r>
        <w:t xml:space="preserve">: issue of jurisdiction. The Respondent stated that in view of the arbitration clause in the Subcontract Agreement between the parties the matter ought to be referred to the arbitration in terms of the clause and if the Court in the main suit 64/2021 decides that the matter should indeed be referred to the arbitration, the issue of security for costs and damages would not arise and neither party is prejudiced and the arbitral process will itself regulate the issue. </w:t>
      </w:r>
    </w:p>
    <w:p w:rsidR="006B1E41" w:rsidRDefault="00D72967" w:rsidP="008A24BB">
      <w:pPr>
        <w:pStyle w:val="JudgmentText"/>
        <w:tabs>
          <w:tab w:val="clear" w:pos="360"/>
          <w:tab w:val="left" w:pos="720"/>
        </w:tabs>
        <w:ind w:hanging="720"/>
      </w:pPr>
      <w:r>
        <w:lastRenderedPageBreak/>
        <w:t>This Court agreed with the Respondent and determined that it first needs to establish whether it has jurisdiction to hear the main suit CS 64/2021. Once the Court makes determination regarding its jurisdiction, it will then make determination in relation to security</w:t>
      </w:r>
      <w:r w:rsidR="006B1E41">
        <w:t xml:space="preserve"> of costs</w:t>
      </w:r>
      <w:r>
        <w:t xml:space="preserve"> application if it is still applicable.</w:t>
      </w:r>
    </w:p>
    <w:p w:rsidR="007D5A9D" w:rsidRPr="007D5A9D" w:rsidRDefault="007D5A9D" w:rsidP="00D72967">
      <w:pPr>
        <w:pStyle w:val="JudgmentText"/>
        <w:numPr>
          <w:ilvl w:val="0"/>
          <w:numId w:val="0"/>
        </w:numPr>
        <w:tabs>
          <w:tab w:val="left" w:pos="720"/>
        </w:tabs>
        <w:rPr>
          <w:b/>
        </w:rPr>
      </w:pPr>
      <w:proofErr w:type="gramStart"/>
      <w:r>
        <w:rPr>
          <w:b/>
        </w:rPr>
        <w:t>Plaintiffs</w:t>
      </w:r>
      <w:proofErr w:type="gramEnd"/>
      <w:r>
        <w:rPr>
          <w:b/>
        </w:rPr>
        <w:t xml:space="preserve"> submissions in respect of the Plea in </w:t>
      </w:r>
      <w:proofErr w:type="spellStart"/>
      <w:r>
        <w:rPr>
          <w:b/>
        </w:rPr>
        <w:t>Limine</w:t>
      </w:r>
      <w:proofErr w:type="spellEnd"/>
      <w:r>
        <w:rPr>
          <w:b/>
        </w:rPr>
        <w:t>.</w:t>
      </w:r>
    </w:p>
    <w:p w:rsidR="00D72967" w:rsidRDefault="007D5A9D" w:rsidP="00D72967">
      <w:pPr>
        <w:pStyle w:val="JudgmentText"/>
        <w:tabs>
          <w:tab w:val="clear" w:pos="360"/>
          <w:tab w:val="left" w:pos="720"/>
        </w:tabs>
        <w:ind w:hanging="720"/>
      </w:pPr>
      <w:r>
        <w:t xml:space="preserve">The </w:t>
      </w:r>
      <w:r w:rsidR="00D72967">
        <w:t>Plaintiff</w:t>
      </w:r>
      <w:r w:rsidR="006B1E41">
        <w:t xml:space="preserve"> submits that under article</w:t>
      </w:r>
      <w:r w:rsidR="00D72967">
        <w:t xml:space="preserve"> 113 (1) of the Commercial Code where dispute is subject to the arbitration agreement, the Court shall at the request of either party decline the jurisdiction to hear the dispute and refer it for arbitration unless the agreement is not valid or has terminated:</w:t>
      </w:r>
    </w:p>
    <w:p w:rsidR="00D72967" w:rsidRDefault="006B1E41" w:rsidP="00D72967">
      <w:pPr>
        <w:pStyle w:val="JudgmentText"/>
        <w:numPr>
          <w:ilvl w:val="0"/>
          <w:numId w:val="0"/>
        </w:numPr>
        <w:tabs>
          <w:tab w:val="left" w:pos="720"/>
        </w:tabs>
        <w:spacing w:line="240" w:lineRule="auto"/>
        <w:ind w:left="1440"/>
        <w:rPr>
          <w:i/>
        </w:rPr>
      </w:pPr>
      <w:r>
        <w:rPr>
          <w:i/>
        </w:rPr>
        <w:t>Article</w:t>
      </w:r>
      <w:r w:rsidR="00D72967">
        <w:rPr>
          <w:i/>
        </w:rPr>
        <w:t xml:space="preserve"> 113</w:t>
      </w:r>
    </w:p>
    <w:p w:rsidR="00D72967" w:rsidRDefault="00D72967" w:rsidP="00D72967">
      <w:pPr>
        <w:pStyle w:val="JudgmentText"/>
        <w:numPr>
          <w:ilvl w:val="0"/>
          <w:numId w:val="0"/>
        </w:numPr>
        <w:tabs>
          <w:tab w:val="left" w:pos="720"/>
        </w:tabs>
        <w:spacing w:line="240" w:lineRule="auto"/>
        <w:ind w:left="1440"/>
        <w:rPr>
          <w:i/>
        </w:rPr>
      </w:pPr>
      <w:r>
        <w:rPr>
          <w:i/>
        </w:rPr>
        <w:t>1. The Court seized of a dispute which is the subject of an arbitration agreement shall, at the request of either party, declare that it has no jurisdiction, unless, insofar as the dispute is concerned, the agreement is not valid or has terminated.</w:t>
      </w:r>
    </w:p>
    <w:p w:rsidR="00D72967" w:rsidRDefault="00D72967" w:rsidP="00D72967">
      <w:pPr>
        <w:pStyle w:val="JudgmentText"/>
        <w:numPr>
          <w:ilvl w:val="0"/>
          <w:numId w:val="0"/>
        </w:numPr>
        <w:tabs>
          <w:tab w:val="left" w:pos="720"/>
        </w:tabs>
        <w:spacing w:line="240" w:lineRule="auto"/>
        <w:ind w:left="1440"/>
      </w:pPr>
      <w:r>
        <w:rPr>
          <w:i/>
        </w:rPr>
        <w:t>2. An application to the Court for preservation or interim measures shall not be incompatible with an arbitration agreement and shall not imply a renunciation of such agreement</w:t>
      </w:r>
      <w:r>
        <w:t>.</w:t>
      </w:r>
    </w:p>
    <w:p w:rsidR="00D72967" w:rsidRDefault="00D72967" w:rsidP="00D72967">
      <w:pPr>
        <w:pStyle w:val="JudgmentText"/>
        <w:tabs>
          <w:tab w:val="clear" w:pos="360"/>
          <w:tab w:val="left" w:pos="720"/>
        </w:tabs>
        <w:ind w:hanging="720"/>
      </w:pPr>
      <w:r>
        <w:t xml:space="preserve">The Plaintiff submits that a party requesting the court to decline jurisdiction must establish that there is a valid arbitration agreement, that a party is and was ready and willing at the commencement of the proceedings to submit to arbitration and was ready and willing to do everything for the proper conduct of the arbitration; and a party must file an </w:t>
      </w:r>
      <w:r w:rsidR="006B1E41">
        <w:t>affidavit</w:t>
      </w:r>
      <w:r>
        <w:t xml:space="preserve"> to satisfy the court that a party was ready and willing. The Plaintiff relies on decisions of </w:t>
      </w:r>
      <w:proofErr w:type="spellStart"/>
      <w:r>
        <w:rPr>
          <w:i/>
          <w:u w:val="single"/>
        </w:rPr>
        <w:t>Wartsila</w:t>
      </w:r>
      <w:proofErr w:type="spellEnd"/>
      <w:r>
        <w:rPr>
          <w:i/>
          <w:u w:val="single"/>
        </w:rPr>
        <w:t xml:space="preserve"> NSD Finland OY v United Concrete Products</w:t>
      </w:r>
      <w:r>
        <w:rPr>
          <w:u w:val="single"/>
        </w:rPr>
        <w:t xml:space="preserve"> (2004-2005) SCAR</w:t>
      </w:r>
      <w:r>
        <w:t xml:space="preserve">; </w:t>
      </w:r>
      <w:r>
        <w:rPr>
          <w:i/>
          <w:u w:val="single"/>
        </w:rPr>
        <w:t xml:space="preserve">Emerald Cove Ltd v </w:t>
      </w:r>
      <w:proofErr w:type="spellStart"/>
      <w:r>
        <w:rPr>
          <w:i/>
          <w:u w:val="single"/>
        </w:rPr>
        <w:t>Intour</w:t>
      </w:r>
      <w:proofErr w:type="spellEnd"/>
      <w:r>
        <w:rPr>
          <w:i/>
          <w:u w:val="single"/>
        </w:rPr>
        <w:t xml:space="preserve"> SRL</w:t>
      </w:r>
      <w:r>
        <w:rPr>
          <w:u w:val="single"/>
        </w:rPr>
        <w:t xml:space="preserve"> (2000-2001) SCAR 83</w:t>
      </w:r>
      <w:r>
        <w:t xml:space="preserve"> and </w:t>
      </w:r>
      <w:proofErr w:type="spellStart"/>
      <w:r>
        <w:rPr>
          <w:i/>
          <w:u w:val="single"/>
        </w:rPr>
        <w:t>Beitsma</w:t>
      </w:r>
      <w:proofErr w:type="spellEnd"/>
      <w:r>
        <w:rPr>
          <w:i/>
          <w:u w:val="single"/>
        </w:rPr>
        <w:t xml:space="preserve"> v </w:t>
      </w:r>
      <w:proofErr w:type="spellStart"/>
      <w:r>
        <w:rPr>
          <w:i/>
          <w:u w:val="single"/>
        </w:rPr>
        <w:t>Dingjam</w:t>
      </w:r>
      <w:proofErr w:type="spellEnd"/>
      <w:r>
        <w:rPr>
          <w:u w:val="single"/>
        </w:rPr>
        <w:t xml:space="preserve"> No. 1 (1974) SLR 292</w:t>
      </w:r>
      <w:r>
        <w:t xml:space="preserve">. </w:t>
      </w:r>
    </w:p>
    <w:p w:rsidR="00D72967" w:rsidRDefault="00D72967" w:rsidP="00D72967">
      <w:pPr>
        <w:pStyle w:val="JudgmentText"/>
        <w:tabs>
          <w:tab w:val="clear" w:pos="360"/>
          <w:tab w:val="left" w:pos="720"/>
        </w:tabs>
        <w:ind w:hanging="720"/>
      </w:pPr>
      <w:r>
        <w:t xml:space="preserve">It is Plaintiff’s submissions that the Defendant has failed to satisfy conditions of being ready and willing to submit to the arbitration and </w:t>
      </w:r>
      <w:r w:rsidR="006B1E41">
        <w:t>affidavit</w:t>
      </w:r>
      <w:r>
        <w:t xml:space="preserve"> evidence requirement.</w:t>
      </w:r>
    </w:p>
    <w:p w:rsidR="00D72967" w:rsidRDefault="00D72967" w:rsidP="00D72967">
      <w:pPr>
        <w:pStyle w:val="JudgmentText"/>
        <w:tabs>
          <w:tab w:val="clear" w:pos="360"/>
          <w:tab w:val="left" w:pos="720"/>
        </w:tabs>
        <w:ind w:hanging="720"/>
      </w:pPr>
      <w:r>
        <w:t xml:space="preserve">Plaintiff states that Clause 23 of the Agreement between the Plaintiff and Defendant (Exhibit AB1 to </w:t>
      </w:r>
      <w:r w:rsidR="006B1E41">
        <w:t>Affidavit</w:t>
      </w:r>
      <w:r>
        <w:t xml:space="preserve"> of </w:t>
      </w:r>
      <w:proofErr w:type="spellStart"/>
      <w:r>
        <w:t>Alderic</w:t>
      </w:r>
      <w:proofErr w:type="spellEnd"/>
      <w:r>
        <w:t xml:space="preserve"> </w:t>
      </w:r>
      <w:proofErr w:type="spellStart"/>
      <w:r>
        <w:t>Benoiton</w:t>
      </w:r>
      <w:proofErr w:type="spellEnd"/>
      <w:r>
        <w:t xml:space="preserve">) contains dispute resolution mechanism according to which, the parties are first to attempt informal dispute resolution by senior management; and in the event of failure to settle, the dispute is to be referred to an </w:t>
      </w:r>
      <w:r>
        <w:lastRenderedPageBreak/>
        <w:t xml:space="preserve">adjudicator; thereafter and in the event of unsuccessful adjudication, the dispute is to be referred to an arbitration. </w:t>
      </w:r>
    </w:p>
    <w:p w:rsidR="00D72967" w:rsidRDefault="00D72967" w:rsidP="00D72967">
      <w:pPr>
        <w:pStyle w:val="JudgmentText"/>
        <w:tabs>
          <w:tab w:val="clear" w:pos="360"/>
          <w:tab w:val="left" w:pos="720"/>
        </w:tabs>
        <w:ind w:hanging="720"/>
      </w:pPr>
      <w:r>
        <w:t>The Plaintiff submits that after an unsuccessful attempt of informal dispute resolution, the Plaintiff through letter written by its Attorney-at-Law (Exhibit AB2) dated 20</w:t>
      </w:r>
      <w:r>
        <w:rPr>
          <w:vertAlign w:val="superscript"/>
        </w:rPr>
        <w:t>th</w:t>
      </w:r>
      <w:r>
        <w:t xml:space="preserve"> September 2019 notified the Defendant that it wished to refer the dispute to adjudication and requested the Defendant to indicate its agreement to refer the dispute within thirty (30) days. </w:t>
      </w:r>
    </w:p>
    <w:p w:rsidR="00D72967" w:rsidRDefault="00D72967" w:rsidP="00D72967">
      <w:pPr>
        <w:pStyle w:val="JudgmentText"/>
        <w:tabs>
          <w:tab w:val="clear" w:pos="360"/>
          <w:tab w:val="left" w:pos="720"/>
        </w:tabs>
        <w:ind w:hanging="720"/>
      </w:pPr>
      <w:r>
        <w:t>It is further submitted that by email dated 13 December 2019 (Exhibit AB3), the Attorney-at-Law informed the Defendant that it had to respond to the letter by 15</w:t>
      </w:r>
      <w:r>
        <w:rPr>
          <w:vertAlign w:val="superscript"/>
        </w:rPr>
        <w:t>th</w:t>
      </w:r>
      <w:r>
        <w:t xml:space="preserve"> January 2020 failing which the Plaintiff would institute legal proceedings against the Defendant. The Plaintiff submits that the Defendant had acknowledged receipt of the email and the letter (reference made to email of Shaun Maree dated 13 December 2019, Exhibit (AB3) and the Defendant’s letter dated 23 July 2021 (AB4)).</w:t>
      </w:r>
    </w:p>
    <w:p w:rsidR="00D72967" w:rsidRDefault="00D72967" w:rsidP="00D72967">
      <w:pPr>
        <w:pStyle w:val="JudgmentText"/>
        <w:tabs>
          <w:tab w:val="clear" w:pos="360"/>
          <w:tab w:val="left" w:pos="720"/>
        </w:tabs>
        <w:ind w:hanging="720"/>
      </w:pPr>
      <w:r>
        <w:t xml:space="preserve">It is submitted that the Defendant has not indicated its agreement to refer the dispute to adjudication within time frame specified by the Plaintiff and in accordance with Clause 23 of the Agreement. The Plaintiff states that only after the commencement of the </w:t>
      </w:r>
      <w:r w:rsidRPr="00D72967">
        <w:t>suit, 5</w:t>
      </w:r>
      <w:r w:rsidRPr="00D72967">
        <w:rPr>
          <w:vertAlign w:val="superscript"/>
        </w:rPr>
        <w:t>th</w:t>
      </w:r>
      <w:r w:rsidRPr="00D72967">
        <w:t xml:space="preserve"> July 2021</w:t>
      </w:r>
      <w:r>
        <w:t xml:space="preserve"> the Defendant sent a letter purporting to nominate an adjudicator. It is Plaintiff’s submissions that the sequence of events clearly establish that at the time when proceedings were commenced, i.e. when the suit was commenced, the Defendant was not ready and willing to do all things necessary to the proper conduct of the arbitration. Plaintiff submits that </w:t>
      </w:r>
      <w:r>
        <w:rPr>
          <w:i/>
        </w:rPr>
        <w:t>“the feeble and tardy attempt to appoint an adjudicator”</w:t>
      </w:r>
      <w:r>
        <w:t xml:space="preserve"> was aimed to delay and frustrate the Plaintiff in seeking payment of damages from Defendant.</w:t>
      </w:r>
    </w:p>
    <w:p w:rsidR="00D72967" w:rsidRDefault="00D72967" w:rsidP="00D72967">
      <w:pPr>
        <w:pStyle w:val="JudgmentText"/>
        <w:tabs>
          <w:tab w:val="clear" w:pos="360"/>
          <w:tab w:val="left" w:pos="720"/>
        </w:tabs>
        <w:ind w:hanging="720"/>
      </w:pPr>
      <w:r>
        <w:t xml:space="preserve">Plaintiff further submits that the </w:t>
      </w:r>
      <w:r w:rsidR="006B1E41">
        <w:t>affidavit</w:t>
      </w:r>
      <w:r>
        <w:t xml:space="preserve"> of Mr Pieter </w:t>
      </w:r>
      <w:proofErr w:type="spellStart"/>
      <w:r>
        <w:t>Schalk</w:t>
      </w:r>
      <w:proofErr w:type="spellEnd"/>
      <w:r>
        <w:t xml:space="preserve"> Van </w:t>
      </w:r>
      <w:proofErr w:type="spellStart"/>
      <w:r>
        <w:t>Staden</w:t>
      </w:r>
      <w:proofErr w:type="spellEnd"/>
      <w:r>
        <w:t xml:space="preserve"> is bad in law as it has been sworn in South Africa before one Willem Munro </w:t>
      </w:r>
      <w:proofErr w:type="spellStart"/>
      <w:r>
        <w:t>Luttig</w:t>
      </w:r>
      <w:proofErr w:type="spellEnd"/>
      <w:r>
        <w:t xml:space="preserve">, </w:t>
      </w:r>
      <w:r>
        <w:rPr>
          <w:i/>
        </w:rPr>
        <w:t>“in his purported capacity as a Commissioner of Oath and Notary Public”</w:t>
      </w:r>
      <w:r>
        <w:t xml:space="preserve"> and the </w:t>
      </w:r>
      <w:r w:rsidR="006B1E41">
        <w:t>affidavit</w:t>
      </w:r>
      <w:r>
        <w:t xml:space="preserve"> has not been </w:t>
      </w:r>
      <w:proofErr w:type="spellStart"/>
      <w:r>
        <w:t>apostilled</w:t>
      </w:r>
      <w:proofErr w:type="spellEnd"/>
      <w:r>
        <w:t xml:space="preserve">. The Plaintiff submits that since the </w:t>
      </w:r>
      <w:r w:rsidR="006B1E41">
        <w:t>affidavit</w:t>
      </w:r>
      <w:r>
        <w:t xml:space="preserve"> is defective, the application to request the Court to decline jurisdiction is not supported by any </w:t>
      </w:r>
      <w:r w:rsidR="006B1E41">
        <w:t>affidavit</w:t>
      </w:r>
      <w:r>
        <w:t xml:space="preserve">, is therefore not in accordance with </w:t>
      </w:r>
      <w:proofErr w:type="spellStart"/>
      <w:r>
        <w:rPr>
          <w:i/>
        </w:rPr>
        <w:t>Beitsma</w:t>
      </w:r>
      <w:proofErr w:type="spellEnd"/>
      <w:r>
        <w:rPr>
          <w:i/>
        </w:rPr>
        <w:t xml:space="preserve"> v </w:t>
      </w:r>
      <w:proofErr w:type="spellStart"/>
      <w:r>
        <w:rPr>
          <w:i/>
        </w:rPr>
        <w:t>Dingjam</w:t>
      </w:r>
      <w:proofErr w:type="spellEnd"/>
      <w:r>
        <w:t xml:space="preserve"> procedure and should be dismissed. The Plaintiff relies on judgment of the Court of Appeal in </w:t>
      </w:r>
      <w:proofErr w:type="spellStart"/>
      <w:r>
        <w:rPr>
          <w:i/>
          <w:u w:val="single"/>
        </w:rPr>
        <w:t>Onezime</w:t>
      </w:r>
      <w:proofErr w:type="spellEnd"/>
      <w:r>
        <w:rPr>
          <w:i/>
          <w:u w:val="single"/>
        </w:rPr>
        <w:t xml:space="preserve"> v Attorney </w:t>
      </w:r>
      <w:proofErr w:type="gramStart"/>
      <w:r>
        <w:rPr>
          <w:i/>
          <w:u w:val="single"/>
        </w:rPr>
        <w:t>General &amp;</w:t>
      </w:r>
      <w:proofErr w:type="gramEnd"/>
      <w:r>
        <w:rPr>
          <w:i/>
          <w:u w:val="single"/>
        </w:rPr>
        <w:t xml:space="preserve"> </w:t>
      </w:r>
      <w:proofErr w:type="spellStart"/>
      <w:r>
        <w:rPr>
          <w:i/>
          <w:u w:val="single"/>
        </w:rPr>
        <w:t>Anor</w:t>
      </w:r>
      <w:proofErr w:type="spellEnd"/>
      <w:r>
        <w:rPr>
          <w:u w:val="single"/>
        </w:rPr>
        <w:t xml:space="preserve"> (SCA CL 03/2021) [2022] SCCA 20 (Arising in CP 01/2021) (29 April 2022).</w:t>
      </w:r>
    </w:p>
    <w:p w:rsidR="00D72967" w:rsidRDefault="00D72967" w:rsidP="00D72967">
      <w:pPr>
        <w:pStyle w:val="JudgmentText"/>
        <w:tabs>
          <w:tab w:val="clear" w:pos="360"/>
          <w:tab w:val="left" w:pos="720"/>
        </w:tabs>
        <w:ind w:hanging="720"/>
      </w:pPr>
      <w:r>
        <w:lastRenderedPageBreak/>
        <w:t xml:space="preserve">The Plaintiff further submits at paragraph 4 </w:t>
      </w:r>
      <w:r w:rsidR="00B61314">
        <w:t>of the written s</w:t>
      </w:r>
      <w:r>
        <w:t xml:space="preserve">ubmissions that the Defendant is estopped by its conduct, namely by being not ready and willing to submit to arbitration, from requesting the Court to decline jurisdiction. In the alternative, the Plaintiff raises equitable principle of waiver, stating that the Defendant has waived its right to request the court to decline jurisdiction. Plaintiff submitted extracts from </w:t>
      </w:r>
      <w:proofErr w:type="spellStart"/>
      <w:r>
        <w:t>Halsbury’s</w:t>
      </w:r>
      <w:proofErr w:type="spellEnd"/>
      <w:r>
        <w:t xml:space="preserve"> Law of England to support its submission regarding estoppel and waiver (Exhibits A4 and A5).</w:t>
      </w:r>
    </w:p>
    <w:p w:rsidR="00D72967" w:rsidRDefault="00D72967" w:rsidP="00D72967">
      <w:pPr>
        <w:pStyle w:val="JudgmentText"/>
        <w:tabs>
          <w:tab w:val="clear" w:pos="360"/>
          <w:tab w:val="left" w:pos="720"/>
        </w:tabs>
        <w:ind w:hanging="720"/>
      </w:pPr>
      <w:r>
        <w:t xml:space="preserve">The Plaintiff therefore asks the court to dismiss the Defendant’s application and proceed to hear the matter. </w:t>
      </w:r>
    </w:p>
    <w:p w:rsidR="00F01E9F" w:rsidRDefault="00F01E9F" w:rsidP="003D7A21">
      <w:pPr>
        <w:pStyle w:val="JudgmentText"/>
        <w:numPr>
          <w:ilvl w:val="0"/>
          <w:numId w:val="0"/>
        </w:numPr>
        <w:tabs>
          <w:tab w:val="left" w:pos="720"/>
        </w:tabs>
        <w:rPr>
          <w:b/>
        </w:rPr>
      </w:pPr>
      <w:r>
        <w:rPr>
          <w:b/>
        </w:rPr>
        <w:t>Analysis</w:t>
      </w:r>
    </w:p>
    <w:p w:rsidR="00F01E9F" w:rsidRDefault="00F01E9F" w:rsidP="00F01E9F">
      <w:pPr>
        <w:pStyle w:val="JudgmentText"/>
        <w:tabs>
          <w:tab w:val="clear" w:pos="360"/>
          <w:tab w:val="left" w:pos="720"/>
        </w:tabs>
        <w:ind w:hanging="720"/>
      </w:pPr>
      <w:r>
        <w:t>As it appears from the Plaintiff’s submissions, the Plaintiff does not dispute the validity of arbitration clause and the</w:t>
      </w:r>
      <w:r w:rsidR="007D5A9D">
        <w:t>refore the</w:t>
      </w:r>
      <w:r>
        <w:t xml:space="preserve"> main is</w:t>
      </w:r>
      <w:r w:rsidR="007D5A9D">
        <w:t>sue for determination</w:t>
      </w:r>
      <w:r w:rsidR="00B61314">
        <w:t>,</w:t>
      </w:r>
      <w:r w:rsidR="007D5A9D">
        <w:t xml:space="preserve"> </w:t>
      </w:r>
      <w:r>
        <w:t>is whether the Defendant has shown to the Court that they were ready and willing to submit to dispute resolution an</w:t>
      </w:r>
      <w:r w:rsidR="007D5A9D">
        <w:t xml:space="preserve">d whether they have proven </w:t>
      </w:r>
      <w:r>
        <w:t xml:space="preserve">to the Court </w:t>
      </w:r>
      <w:r w:rsidR="007D5A9D">
        <w:t xml:space="preserve">that they have acted </w:t>
      </w:r>
      <w:r>
        <w:t xml:space="preserve">in accordance with procedure laid out in </w:t>
      </w:r>
      <w:proofErr w:type="spellStart"/>
      <w:r>
        <w:rPr>
          <w:i/>
          <w:u w:val="single"/>
        </w:rPr>
        <w:t>Beitsma</w:t>
      </w:r>
      <w:proofErr w:type="spellEnd"/>
      <w:r>
        <w:rPr>
          <w:i/>
          <w:u w:val="single"/>
        </w:rPr>
        <w:t xml:space="preserve"> v </w:t>
      </w:r>
      <w:proofErr w:type="spellStart"/>
      <w:r>
        <w:rPr>
          <w:i/>
          <w:u w:val="single"/>
        </w:rPr>
        <w:t>Dingjam</w:t>
      </w:r>
      <w:proofErr w:type="spellEnd"/>
      <w:r>
        <w:rPr>
          <w:u w:val="single"/>
        </w:rPr>
        <w:t xml:space="preserve"> No. 1 (1974) SLR 292 </w:t>
      </w:r>
      <w:r>
        <w:t xml:space="preserve">and confirmed in </w:t>
      </w:r>
      <w:r>
        <w:rPr>
          <w:i/>
          <w:u w:val="single"/>
        </w:rPr>
        <w:t xml:space="preserve">Emerald Cove Ltd v </w:t>
      </w:r>
      <w:proofErr w:type="spellStart"/>
      <w:r>
        <w:rPr>
          <w:i/>
          <w:u w:val="single"/>
        </w:rPr>
        <w:t>Intour</w:t>
      </w:r>
      <w:proofErr w:type="spellEnd"/>
      <w:r>
        <w:rPr>
          <w:i/>
          <w:u w:val="single"/>
        </w:rPr>
        <w:t xml:space="preserve"> </w:t>
      </w:r>
      <w:r>
        <w:rPr>
          <w:u w:val="single"/>
        </w:rPr>
        <w:t>SRL (2000-2001) SCAR 83</w:t>
      </w:r>
      <w:r>
        <w:t xml:space="preserve"> and </w:t>
      </w:r>
      <w:proofErr w:type="spellStart"/>
      <w:r>
        <w:rPr>
          <w:i/>
          <w:u w:val="single"/>
        </w:rPr>
        <w:t>Wartsila</w:t>
      </w:r>
      <w:proofErr w:type="spellEnd"/>
      <w:r>
        <w:rPr>
          <w:i/>
          <w:u w:val="single"/>
        </w:rPr>
        <w:t xml:space="preserve"> NSD Finland OY v United Concrete Products</w:t>
      </w:r>
      <w:r>
        <w:rPr>
          <w:u w:val="single"/>
        </w:rPr>
        <w:t xml:space="preserve"> (2004-2005) SCAR</w:t>
      </w:r>
      <w:r>
        <w:t>.</w:t>
      </w:r>
    </w:p>
    <w:p w:rsidR="00F01E9F" w:rsidRDefault="007D5A9D" w:rsidP="003D7A21">
      <w:pPr>
        <w:pStyle w:val="JudgmentText"/>
        <w:numPr>
          <w:ilvl w:val="0"/>
          <w:numId w:val="0"/>
        </w:numPr>
        <w:tabs>
          <w:tab w:val="left" w:pos="720"/>
        </w:tabs>
        <w:rPr>
          <w:i/>
        </w:rPr>
      </w:pPr>
      <w:r>
        <w:rPr>
          <w:i/>
        </w:rPr>
        <w:tab/>
      </w:r>
      <w:r w:rsidR="00F01E9F">
        <w:rPr>
          <w:i/>
        </w:rPr>
        <w:t>Ready and willing to submit to dispute resolution</w:t>
      </w:r>
    </w:p>
    <w:p w:rsidR="007D5A9D" w:rsidRDefault="007D5A9D" w:rsidP="000E56C3">
      <w:pPr>
        <w:pStyle w:val="JudgmentText"/>
        <w:tabs>
          <w:tab w:val="clear" w:pos="360"/>
          <w:tab w:val="left" w:pos="720"/>
        </w:tabs>
        <w:ind w:hanging="720"/>
      </w:pPr>
      <w:r>
        <w:t xml:space="preserve">It was held in </w:t>
      </w:r>
      <w:proofErr w:type="spellStart"/>
      <w:r w:rsidRPr="007D5A9D">
        <w:rPr>
          <w:i/>
        </w:rPr>
        <w:t>Beitsma</w:t>
      </w:r>
      <w:proofErr w:type="spellEnd"/>
      <w:r w:rsidRPr="007D5A9D">
        <w:rPr>
          <w:i/>
        </w:rPr>
        <w:t xml:space="preserve"> v </w:t>
      </w:r>
      <w:proofErr w:type="spellStart"/>
      <w:r w:rsidRPr="007D5A9D">
        <w:rPr>
          <w:i/>
        </w:rPr>
        <w:t>Dingjam</w:t>
      </w:r>
      <w:proofErr w:type="spellEnd"/>
      <w:r>
        <w:t xml:space="preserve"> that, </w:t>
      </w:r>
      <w:r w:rsidRPr="007D5A9D">
        <w:rPr>
          <w:i/>
        </w:rPr>
        <w:t xml:space="preserve">“the party who asks the court for an order to stay proceedings must file an </w:t>
      </w:r>
      <w:r w:rsidR="006B1E41">
        <w:rPr>
          <w:i/>
        </w:rPr>
        <w:t>Affidavit</w:t>
      </w:r>
      <w:r w:rsidRPr="007D5A9D">
        <w:rPr>
          <w:i/>
        </w:rPr>
        <w:t xml:space="preserve"> so as to satisfy the Court not only that he is, but also that he was at the commencement of the proceedings ready and willing to do everything for the proper conduct of the arbitration….”</w:t>
      </w:r>
      <w:r>
        <w:t xml:space="preserve">. </w:t>
      </w:r>
    </w:p>
    <w:p w:rsidR="000E56C3" w:rsidRDefault="000E56C3" w:rsidP="000E56C3">
      <w:pPr>
        <w:pStyle w:val="JudgmentText"/>
        <w:tabs>
          <w:tab w:val="clear" w:pos="360"/>
          <w:tab w:val="left" w:pos="720"/>
        </w:tabs>
        <w:ind w:hanging="720"/>
      </w:pPr>
      <w:r w:rsidRPr="008D7DF0">
        <w:t>Therefore</w:t>
      </w:r>
      <w:r w:rsidRPr="008E6104">
        <w:rPr>
          <w:b/>
        </w:rPr>
        <w:t xml:space="preserve"> </w:t>
      </w:r>
      <w:r>
        <w:t xml:space="preserve">a party must satisfy the Court that it was ready and willing </w:t>
      </w:r>
      <w:r w:rsidRPr="008E6104">
        <w:rPr>
          <w:u w:val="single"/>
        </w:rPr>
        <w:t>at the commencement of the proceedings to submit to dispute resolution</w:t>
      </w:r>
      <w:r>
        <w:t>,</w:t>
      </w:r>
    </w:p>
    <w:p w:rsidR="00F01E9F" w:rsidRDefault="000E56C3" w:rsidP="00F01E9F">
      <w:pPr>
        <w:pStyle w:val="JudgmentText"/>
        <w:tabs>
          <w:tab w:val="clear" w:pos="360"/>
          <w:tab w:val="left" w:pos="720"/>
        </w:tabs>
        <w:ind w:hanging="720"/>
      </w:pPr>
      <w:r>
        <w:t xml:space="preserve">When one considers the correspondence </w:t>
      </w:r>
      <w:r w:rsidR="00F01E9F">
        <w:t>b</w:t>
      </w:r>
      <w:r>
        <w:t>etween the parties provided as e</w:t>
      </w:r>
      <w:r w:rsidR="00F01E9F">
        <w:t>xhibits, it is clear that the Defendant has expressed willingness</w:t>
      </w:r>
      <w:r w:rsidR="00B61314">
        <w:t xml:space="preserve"> to appoint</w:t>
      </w:r>
      <w:r w:rsidR="00C16025">
        <w:t xml:space="preserve"> an</w:t>
      </w:r>
      <w:r w:rsidR="00B61314">
        <w:t xml:space="preserve"> adjudicator in the</w:t>
      </w:r>
      <w:r w:rsidR="00F01E9F">
        <w:t xml:space="preserve"> letter dated 23 July 2021. The will</w:t>
      </w:r>
      <w:r w:rsidR="00FB2F00">
        <w:t xml:space="preserve">ingness is expressed after </w:t>
      </w:r>
      <w:r w:rsidR="00AC23D6">
        <w:t xml:space="preserve">around </w:t>
      </w:r>
      <w:r w:rsidR="00FB2F00">
        <w:t xml:space="preserve">one year </w:t>
      </w:r>
      <w:r w:rsidR="00AC23D6">
        <w:t>and six</w:t>
      </w:r>
      <w:r w:rsidR="00FB2F00">
        <w:t xml:space="preserve"> month period</w:t>
      </w:r>
      <w:r w:rsidR="00F01E9F">
        <w:t xml:space="preserve"> </w:t>
      </w:r>
      <w:r w:rsidR="00DA1FB3">
        <w:t xml:space="preserve">from </w:t>
      </w:r>
      <w:r w:rsidR="007D5A9D">
        <w:t xml:space="preserve">15 </w:t>
      </w:r>
      <w:r w:rsidR="00C16025">
        <w:t xml:space="preserve">January 2020 </w:t>
      </w:r>
      <w:r w:rsidR="007D5A9D">
        <w:t xml:space="preserve">the </w:t>
      </w:r>
      <w:r w:rsidR="00DA1FB3">
        <w:t>time</w:t>
      </w:r>
      <w:r w:rsidR="007D5A9D">
        <w:t xml:space="preserve"> limit</w:t>
      </w:r>
      <w:r w:rsidR="00DA1FB3">
        <w:t xml:space="preserve"> specified by the Plaintiff by which</w:t>
      </w:r>
      <w:r w:rsidR="00C16025">
        <w:t>,</w:t>
      </w:r>
      <w:r w:rsidR="00DA1FB3">
        <w:t xml:space="preserve"> if no response was </w:t>
      </w:r>
      <w:r w:rsidR="00DA1FB3">
        <w:lastRenderedPageBreak/>
        <w:t>received, the Plaintiff intended to institute proceedings</w:t>
      </w:r>
      <w:r w:rsidR="00FB2F00">
        <w:t xml:space="preserve">. </w:t>
      </w:r>
      <w:r w:rsidR="00DA1FB3">
        <w:t>The reply</w:t>
      </w:r>
      <w:r w:rsidR="00FB2F00">
        <w:t xml:space="preserve"> was sent</w:t>
      </w:r>
      <w:r w:rsidR="008D7DF0">
        <w:t xml:space="preserve"> </w:t>
      </w:r>
      <w:r w:rsidR="00FB2F00">
        <w:t xml:space="preserve">after the filing of the plaint </w:t>
      </w:r>
      <w:r w:rsidR="008D7DF0">
        <w:t>i</w:t>
      </w:r>
      <w:r w:rsidR="00FB2F00">
        <w:t xml:space="preserve">n the Supreme Court </w:t>
      </w:r>
      <w:r w:rsidR="00DA1FB3">
        <w:t>(</w:t>
      </w:r>
      <w:r w:rsidR="00FB2F00">
        <w:t>12 of July 2021</w:t>
      </w:r>
      <w:r w:rsidR="00DA1FB3">
        <w:t>)</w:t>
      </w:r>
      <w:r w:rsidR="007D5A9D">
        <w:t xml:space="preserve"> </w:t>
      </w:r>
      <w:r w:rsidR="00B61314">
        <w:t xml:space="preserve">which was </w:t>
      </w:r>
      <w:r w:rsidR="007D5A9D">
        <w:t xml:space="preserve">also done close to a period of one year </w:t>
      </w:r>
      <w:r w:rsidR="00AC23D6">
        <w:t>six</w:t>
      </w:r>
      <w:r w:rsidR="007D5A9D">
        <w:t xml:space="preserve"> months after the aforementioned deadline date 15</w:t>
      </w:r>
      <w:r w:rsidR="007D5A9D">
        <w:rPr>
          <w:vertAlign w:val="superscript"/>
        </w:rPr>
        <w:t xml:space="preserve"> </w:t>
      </w:r>
      <w:r w:rsidR="00B61314">
        <w:t>January 2020</w:t>
      </w:r>
      <w:r w:rsidR="00FB2F00">
        <w:t xml:space="preserve">. It should be borne in mind that the Plaintiff too had waited </w:t>
      </w:r>
      <w:r w:rsidR="00B61314">
        <w:t xml:space="preserve">almost </w:t>
      </w:r>
      <w:r w:rsidR="00FB2F00">
        <w:t xml:space="preserve">for a period of one year </w:t>
      </w:r>
      <w:r w:rsidR="00AC23D6">
        <w:t>six</w:t>
      </w:r>
      <w:r w:rsidR="00C16025">
        <w:t xml:space="preserve"> months to file the p</w:t>
      </w:r>
      <w:r w:rsidR="00FB2F00">
        <w:t xml:space="preserve">laint in </w:t>
      </w:r>
      <w:r w:rsidR="007D5A9D">
        <w:t>the Supreme Court.  While i</w:t>
      </w:r>
      <w:r w:rsidR="00FB2F00">
        <w:t>t appears to this court that the De</w:t>
      </w:r>
      <w:r w:rsidR="00662A25">
        <w:t>fendant has been galvanised into</w:t>
      </w:r>
      <w:r w:rsidR="00FB2F00">
        <w:t xml:space="preserve"> actio</w:t>
      </w:r>
      <w:r w:rsidR="00C16025">
        <w:t>n by the filing of the p</w:t>
      </w:r>
      <w:r w:rsidR="008D7DF0">
        <w:t>laint</w:t>
      </w:r>
      <w:r w:rsidR="00AC23D6">
        <w:t>,</w:t>
      </w:r>
      <w:r w:rsidR="008D7DF0">
        <w:t xml:space="preserve"> a</w:t>
      </w:r>
      <w:r w:rsidR="00FB2F00">
        <w:t>t the same time</w:t>
      </w:r>
      <w:r w:rsidR="008D7DF0">
        <w:t>,</w:t>
      </w:r>
      <w:r w:rsidR="00FB2F00">
        <w:t xml:space="preserve"> it appears that the Plaintiff to</w:t>
      </w:r>
      <w:r w:rsidR="00662A25">
        <w:t>o</w:t>
      </w:r>
      <w:r w:rsidR="00FB2F00">
        <w:t xml:space="preserve"> has been over indulging in awaiting for a period of </w:t>
      </w:r>
      <w:r w:rsidR="007D5A9D">
        <w:t xml:space="preserve">almost </w:t>
      </w:r>
      <w:r w:rsidR="00FB2F00">
        <w:t xml:space="preserve">one year </w:t>
      </w:r>
      <w:r w:rsidR="00AC23D6">
        <w:t>six</w:t>
      </w:r>
      <w:r w:rsidR="00FB2F00">
        <w:t xml:space="preserve"> months to file plaint after his initial </w:t>
      </w:r>
      <w:r w:rsidR="009A1B11">
        <w:t>letter of 20</w:t>
      </w:r>
      <w:r w:rsidR="009A1B11" w:rsidRPr="009A1B11">
        <w:rPr>
          <w:vertAlign w:val="superscript"/>
        </w:rPr>
        <w:t>th</w:t>
      </w:r>
      <w:r w:rsidR="009A1B11">
        <w:t xml:space="preserve"> September 2019 and </w:t>
      </w:r>
      <w:r w:rsidR="00BF19A3">
        <w:t xml:space="preserve">email of 13 December 2019 (which gave </w:t>
      </w:r>
      <w:r w:rsidR="007D5A9D">
        <w:t>a deadline of 15 January 2020</w:t>
      </w:r>
      <w:r w:rsidR="00BF19A3">
        <w:t xml:space="preserve">) regarding the request to refer the </w:t>
      </w:r>
      <w:r w:rsidR="00C16025">
        <w:t>dispute to adjudication</w:t>
      </w:r>
      <w:r w:rsidR="00BF19A3">
        <w:t>.</w:t>
      </w:r>
    </w:p>
    <w:p w:rsidR="00F01E9F" w:rsidRPr="00B61314" w:rsidRDefault="000E56C3" w:rsidP="00B61314">
      <w:pPr>
        <w:pStyle w:val="JudgmentText"/>
        <w:tabs>
          <w:tab w:val="clear" w:pos="360"/>
          <w:tab w:val="left" w:pos="720"/>
        </w:tabs>
        <w:ind w:hanging="720"/>
      </w:pPr>
      <w:r>
        <w:t xml:space="preserve">From the above it is apparent that the </w:t>
      </w:r>
      <w:r w:rsidR="00BC74CF">
        <w:t>Plaintiff too delayed the filing of proceedings and despite</w:t>
      </w:r>
      <w:r w:rsidR="00B61314">
        <w:t xml:space="preserve"> notice of deadlines being given to the Defendant on the</w:t>
      </w:r>
      <w:r w:rsidR="00BC74CF">
        <w:t xml:space="preserve"> 20</w:t>
      </w:r>
      <w:r w:rsidR="00BC74CF" w:rsidRPr="008E6104">
        <w:rPr>
          <w:vertAlign w:val="superscript"/>
        </w:rPr>
        <w:t>th</w:t>
      </w:r>
      <w:r w:rsidR="00BC74CF">
        <w:t xml:space="preserve"> September 2019 </w:t>
      </w:r>
      <w:r w:rsidR="000C654E">
        <w:t>and 13</w:t>
      </w:r>
      <w:r w:rsidR="000C654E" w:rsidRPr="008E6104">
        <w:rPr>
          <w:vertAlign w:val="superscript"/>
        </w:rPr>
        <w:t>th</w:t>
      </w:r>
      <w:r w:rsidR="000C654E">
        <w:t xml:space="preserve"> of December 2019 </w:t>
      </w:r>
      <w:r w:rsidR="00B61314">
        <w:t xml:space="preserve">which deadline </w:t>
      </w:r>
      <w:r w:rsidR="00BC74CF">
        <w:t xml:space="preserve">ended on the </w:t>
      </w:r>
      <w:r w:rsidR="000C654E">
        <w:t>15</w:t>
      </w:r>
      <w:r w:rsidR="000C654E" w:rsidRPr="008E6104">
        <w:rPr>
          <w:vertAlign w:val="superscript"/>
        </w:rPr>
        <w:t>th</w:t>
      </w:r>
      <w:r w:rsidR="00B61314">
        <w:t xml:space="preserve"> of January 2020</w:t>
      </w:r>
      <w:r>
        <w:t xml:space="preserve">, </w:t>
      </w:r>
      <w:r w:rsidR="000C654E">
        <w:t>the Plaintiff filed the plaint only on the 12</w:t>
      </w:r>
      <w:r w:rsidR="000C654E" w:rsidRPr="008E6104">
        <w:rPr>
          <w:vertAlign w:val="superscript"/>
        </w:rPr>
        <w:t>th</w:t>
      </w:r>
      <w:r w:rsidR="000C654E">
        <w:t xml:space="preserve"> of July 2021.</w:t>
      </w:r>
      <w:r w:rsidR="00BC74CF">
        <w:t xml:space="preserve"> </w:t>
      </w:r>
      <w:r>
        <w:t xml:space="preserve">It is my considered view that </w:t>
      </w:r>
      <w:r w:rsidR="000C654E">
        <w:t>the Defendant cannot be faulted for taking advantage of the delay and expressing his readiness and willingness to submit to dispute resolution soon thereafter on the 23</w:t>
      </w:r>
      <w:r w:rsidR="000C654E" w:rsidRPr="008E6104">
        <w:rPr>
          <w:vertAlign w:val="superscript"/>
        </w:rPr>
        <w:t>rd</w:t>
      </w:r>
      <w:r>
        <w:t xml:space="preserve"> of July 2021. T</w:t>
      </w:r>
      <w:r w:rsidR="008E6104">
        <w:t xml:space="preserve">he </w:t>
      </w:r>
      <w:r>
        <w:t>Plaintiff could have filed the p</w:t>
      </w:r>
      <w:r w:rsidR="008E6104">
        <w:t>laint in January 2020</w:t>
      </w:r>
      <w:r>
        <w:t xml:space="preserve"> but chose to wait till the 12</w:t>
      </w:r>
      <w:r w:rsidRPr="000E56C3">
        <w:rPr>
          <w:vertAlign w:val="superscript"/>
        </w:rPr>
        <w:t>th</w:t>
      </w:r>
      <w:r>
        <w:t xml:space="preserve"> of July 2021</w:t>
      </w:r>
      <w:r w:rsidR="008E6104">
        <w:t xml:space="preserve">. </w:t>
      </w:r>
      <w:r w:rsidR="000C654E">
        <w:t>It appears</w:t>
      </w:r>
      <w:r w:rsidR="008E6104">
        <w:t xml:space="preserve"> therefore</w:t>
      </w:r>
      <w:r w:rsidR="000C654E">
        <w:t xml:space="preserve"> laches cannot be attri</w:t>
      </w:r>
      <w:r>
        <w:t xml:space="preserve">buted to the Defendant as he is permitted by case law </w:t>
      </w:r>
      <w:proofErr w:type="spellStart"/>
      <w:r w:rsidRPr="000E56C3">
        <w:rPr>
          <w:i/>
        </w:rPr>
        <w:t>Beitsma</w:t>
      </w:r>
      <w:proofErr w:type="spellEnd"/>
      <w:r>
        <w:t xml:space="preserve"> </w:t>
      </w:r>
      <w:r w:rsidR="000C654E">
        <w:t>the opp</w:t>
      </w:r>
      <w:r>
        <w:t>ortunity t</w:t>
      </w:r>
      <w:r w:rsidR="000C654E">
        <w:t>o express his readiness and willingness to submit to dispute resolution</w:t>
      </w:r>
      <w:r>
        <w:t xml:space="preserve"> by </w:t>
      </w:r>
      <w:r w:rsidR="006B1E41">
        <w:t>affidavit</w:t>
      </w:r>
      <w:r>
        <w:t xml:space="preserve"> after the commence</w:t>
      </w:r>
      <w:r w:rsidR="00B33925">
        <w:t>ment</w:t>
      </w:r>
      <w:r>
        <w:t xml:space="preserve"> of proceedings which he has done promptly</w:t>
      </w:r>
      <w:r w:rsidR="00C16025">
        <w:t>,</w:t>
      </w:r>
      <w:r w:rsidR="00B61314">
        <w:t xml:space="preserve"> on the 23</w:t>
      </w:r>
      <w:r w:rsidR="00B61314" w:rsidRPr="00B61314">
        <w:rPr>
          <w:vertAlign w:val="superscript"/>
        </w:rPr>
        <w:t>rd</w:t>
      </w:r>
      <w:r w:rsidR="00B61314">
        <w:t xml:space="preserve"> of July 2021 by letter</w:t>
      </w:r>
      <w:r>
        <w:t>.</w:t>
      </w:r>
    </w:p>
    <w:p w:rsidR="000C654E" w:rsidRDefault="000C654E" w:rsidP="00DA1FB3">
      <w:pPr>
        <w:pStyle w:val="JudgmentText"/>
        <w:tabs>
          <w:tab w:val="clear" w:pos="360"/>
          <w:tab w:val="left" w:pos="720"/>
        </w:tabs>
        <w:ind w:hanging="720"/>
      </w:pPr>
      <w:r w:rsidRPr="001A1D1E">
        <w:t>In the light of the aforementioned circumstances it is not necessary to consider the other objections taken by the Plaintiff namely waiver and estoppel</w:t>
      </w:r>
      <w:r w:rsidR="000442E9" w:rsidRPr="001A1D1E">
        <w:t xml:space="preserve"> which have no effect considering the delay in filing proceedings w</w:t>
      </w:r>
      <w:r w:rsidR="008D7DF0">
        <w:t>as on the part of the Plainti</w:t>
      </w:r>
      <w:r w:rsidR="000442E9" w:rsidRPr="001A1D1E">
        <w:t xml:space="preserve">ff and </w:t>
      </w:r>
      <w:r w:rsidR="00B61314">
        <w:t xml:space="preserve">as </w:t>
      </w:r>
      <w:r w:rsidR="00AC23D6">
        <w:t xml:space="preserve">the </w:t>
      </w:r>
      <w:r w:rsidR="000442E9" w:rsidRPr="001A1D1E">
        <w:t>Defendant is provided an opportunity to express his willingness to submit to dispute resolution even at that juncture.</w:t>
      </w:r>
      <w:r w:rsidRPr="001A1D1E">
        <w:t xml:space="preserve"> </w:t>
      </w:r>
    </w:p>
    <w:p w:rsidR="00253C8E" w:rsidRDefault="00253C8E" w:rsidP="00253C8E">
      <w:pPr>
        <w:pStyle w:val="JudgmentText"/>
        <w:tabs>
          <w:tab w:val="clear" w:pos="360"/>
          <w:tab w:val="left" w:pos="720"/>
        </w:tabs>
        <w:ind w:hanging="720"/>
      </w:pPr>
      <w:r>
        <w:t>The other factors to be considered by C</w:t>
      </w:r>
      <w:r w:rsidRPr="00A26342">
        <w:t>ourt</w:t>
      </w:r>
      <w:r>
        <w:t xml:space="preserve"> </w:t>
      </w:r>
      <w:r w:rsidRPr="00A26342">
        <w:t xml:space="preserve">in terms of </w:t>
      </w:r>
      <w:r w:rsidR="006B1E41">
        <w:t>Article</w:t>
      </w:r>
      <w:r w:rsidRPr="00A26342">
        <w:t xml:space="preserve"> 113 (1) of the Commercial Code of Seychelles is whether a valid arbitration agreement exists which has not been </w:t>
      </w:r>
      <w:r w:rsidRPr="00A26342">
        <w:lastRenderedPageBreak/>
        <w:t>terminated. Both parties are in agreement of the fact that an arbitration agreement does exist is valid and has not b</w:t>
      </w:r>
      <w:r>
        <w:t>een terminated.</w:t>
      </w:r>
    </w:p>
    <w:p w:rsidR="008E6104" w:rsidRDefault="00253C8E" w:rsidP="008D7DF0">
      <w:pPr>
        <w:pStyle w:val="JudgmentText"/>
        <w:tabs>
          <w:tab w:val="clear" w:pos="360"/>
          <w:tab w:val="left" w:pos="720"/>
        </w:tabs>
        <w:ind w:hanging="720"/>
      </w:pPr>
      <w:r>
        <w:t xml:space="preserve">With regard to the </w:t>
      </w:r>
      <w:r w:rsidR="006B1E41">
        <w:t>affidavit</w:t>
      </w:r>
      <w:r w:rsidR="00F01E9F">
        <w:t xml:space="preserve">, the Plaintiff relies on the decision of the Court of Appeal in </w:t>
      </w:r>
      <w:proofErr w:type="spellStart"/>
      <w:r w:rsidR="00F01E9F" w:rsidRPr="00A26342">
        <w:rPr>
          <w:i/>
          <w:u w:val="single"/>
        </w:rPr>
        <w:t>Onezime</w:t>
      </w:r>
      <w:proofErr w:type="spellEnd"/>
      <w:r w:rsidR="00F01E9F" w:rsidRPr="00A26342">
        <w:rPr>
          <w:i/>
          <w:u w:val="single"/>
        </w:rPr>
        <w:t xml:space="preserve"> v AG &amp; Government of Seychelles</w:t>
      </w:r>
      <w:r w:rsidR="00F01E9F" w:rsidRPr="00A26342">
        <w:rPr>
          <w:u w:val="single"/>
        </w:rPr>
        <w:t xml:space="preserve"> (SCA CL 3 of 2021) [2022] SCCA 20 (29 April 2022)</w:t>
      </w:r>
      <w:r w:rsidR="00F01E9F">
        <w:t xml:space="preserve">. The judgment concerned the appeal against the decision of the Constitutional Court dismissing constitutional petition on the ground that </w:t>
      </w:r>
      <w:r>
        <w:t xml:space="preserve">the </w:t>
      </w:r>
      <w:r w:rsidR="006B1E41">
        <w:t>affidavit</w:t>
      </w:r>
      <w:r w:rsidR="00F01E9F">
        <w:t>, in support of constitutional petition, was defective and inadmissible</w:t>
      </w:r>
      <w:r w:rsidR="00C16025">
        <w:t xml:space="preserve"> as it had no </w:t>
      </w:r>
      <w:proofErr w:type="spellStart"/>
      <w:r w:rsidR="00C16025">
        <w:t>a</w:t>
      </w:r>
      <w:r>
        <w:t>postille</w:t>
      </w:r>
      <w:proofErr w:type="spellEnd"/>
      <w:r>
        <w:t xml:space="preserve">. The </w:t>
      </w:r>
      <w:r w:rsidR="006B1E41">
        <w:t>affidavit</w:t>
      </w:r>
      <w:r w:rsidR="00F01E9F">
        <w:t xml:space="preserve"> in </w:t>
      </w:r>
      <w:proofErr w:type="spellStart"/>
      <w:r w:rsidR="00F01E9F" w:rsidRPr="00A26342">
        <w:rPr>
          <w:i/>
        </w:rPr>
        <w:t>Onezime</w:t>
      </w:r>
      <w:proofErr w:type="spellEnd"/>
      <w:r w:rsidR="00F01E9F">
        <w:t xml:space="preserve"> was sworn before Kenyan Notary with </w:t>
      </w:r>
      <w:r w:rsidR="00F01E9F" w:rsidRPr="00A26342">
        <w:rPr>
          <w:i/>
        </w:rPr>
        <w:t xml:space="preserve">“red seal sticker and blue stamp with words “Were G. T. </w:t>
      </w:r>
      <w:proofErr w:type="spellStart"/>
      <w:r w:rsidR="00F01E9F" w:rsidRPr="00A26342">
        <w:rPr>
          <w:i/>
        </w:rPr>
        <w:t>Sirioyi</w:t>
      </w:r>
      <w:proofErr w:type="spellEnd"/>
      <w:r w:rsidR="00F01E9F" w:rsidRPr="00A26342">
        <w:rPr>
          <w:i/>
        </w:rPr>
        <w:t>, Commissioner for Oaths/ Notary Public”</w:t>
      </w:r>
      <w:r w:rsidR="00F01E9F">
        <w:t xml:space="preserve">. </w:t>
      </w:r>
      <w:r>
        <w:t xml:space="preserve">The </w:t>
      </w:r>
      <w:r w:rsidR="00AC23D6">
        <w:t>Seychelles Court</w:t>
      </w:r>
      <w:r w:rsidR="00F01E9F">
        <w:t xml:space="preserve"> of Appeal upheld the decision of the Constitutional Court. </w:t>
      </w:r>
    </w:p>
    <w:p w:rsidR="00B33925" w:rsidRDefault="00A26342" w:rsidP="00B33925">
      <w:pPr>
        <w:pStyle w:val="JudgmentText"/>
        <w:tabs>
          <w:tab w:val="clear" w:pos="360"/>
          <w:tab w:val="left" w:pos="720"/>
        </w:tabs>
        <w:ind w:hanging="720"/>
      </w:pPr>
      <w:r>
        <w:t>In this instant case the court is not dealing with a new application</w:t>
      </w:r>
      <w:r w:rsidR="00253C8E">
        <w:t xml:space="preserve"> as in the </w:t>
      </w:r>
      <w:proofErr w:type="spellStart"/>
      <w:r w:rsidR="00253C8E" w:rsidRPr="00253C8E">
        <w:rPr>
          <w:i/>
        </w:rPr>
        <w:t>Onezime</w:t>
      </w:r>
      <w:proofErr w:type="spellEnd"/>
      <w:r w:rsidR="00253C8E">
        <w:t xml:space="preserve"> case which required by law a petition and a supporting </w:t>
      </w:r>
      <w:r w:rsidR="006B1E41">
        <w:t>affidavit</w:t>
      </w:r>
      <w:r w:rsidR="00253C8E">
        <w:t xml:space="preserve"> to be filed for Court to take cognisance of the case. This case has been commenced by plaint</w:t>
      </w:r>
      <w:r w:rsidR="00B33925">
        <w:t xml:space="preserve"> and in </w:t>
      </w:r>
      <w:r w:rsidR="00253C8E">
        <w:t>reply</w:t>
      </w:r>
      <w:r w:rsidR="00B33925">
        <w:t xml:space="preserve"> a</w:t>
      </w:r>
      <w:r>
        <w:t xml:space="preserve"> preliminary objection </w:t>
      </w:r>
      <w:r w:rsidR="00B33925">
        <w:t xml:space="preserve">has been </w:t>
      </w:r>
      <w:r>
        <w:t>taken by the Defendant and written submissions</w:t>
      </w:r>
      <w:r w:rsidR="00253C8E">
        <w:t xml:space="preserve"> filed </w:t>
      </w:r>
      <w:r>
        <w:t xml:space="preserve">that do not warrant an </w:t>
      </w:r>
      <w:r w:rsidR="006B1E41">
        <w:t>affidavit</w:t>
      </w:r>
      <w:r w:rsidR="00253C8E">
        <w:t xml:space="preserve"> in support</w:t>
      </w:r>
      <w:r>
        <w:t>. The facts admitted by both parties are sufficient to deal with question in issue.</w:t>
      </w:r>
      <w:r w:rsidR="008D7DF0">
        <w:t xml:space="preserve"> </w:t>
      </w:r>
      <w:r w:rsidR="00253C8E">
        <w:t xml:space="preserve">The </w:t>
      </w:r>
      <w:r w:rsidR="006B1E41">
        <w:t>affidavit</w:t>
      </w:r>
      <w:r w:rsidR="00253C8E">
        <w:t xml:space="preserve"> has been filed to support the letter dated 23 July 2021 sent by the Defendant to the Plaintiff expressing his willingness to</w:t>
      </w:r>
      <w:r w:rsidR="00B33925">
        <w:t xml:space="preserve"> submit to dispute resolution. I observe the </w:t>
      </w:r>
      <w:r w:rsidR="006B1E41">
        <w:t>affidavit</w:t>
      </w:r>
      <w:r w:rsidR="00B33925">
        <w:t xml:space="preserve"> does not contain an </w:t>
      </w:r>
      <w:proofErr w:type="spellStart"/>
      <w:r w:rsidR="00B33925">
        <w:t>apostille</w:t>
      </w:r>
      <w:proofErr w:type="spellEnd"/>
      <w:r w:rsidR="00B33925">
        <w:t>. Yes, I agree with learned Counsel it is defective but the defect is curable. I grant the defendant three weeks to cure the said defect.</w:t>
      </w:r>
    </w:p>
    <w:p w:rsidR="001C34CB" w:rsidRDefault="00B33925" w:rsidP="00AC23D6">
      <w:pPr>
        <w:pStyle w:val="JudgmentText"/>
        <w:tabs>
          <w:tab w:val="clear" w:pos="360"/>
          <w:tab w:val="left" w:pos="720"/>
        </w:tabs>
        <w:ind w:hanging="720"/>
      </w:pPr>
      <w:r>
        <w:t>The proceedings in this case are stayed until the said date.</w:t>
      </w:r>
    </w:p>
    <w:p w:rsidR="00AB598C" w:rsidRDefault="00AB598C" w:rsidP="00AB598C">
      <w:pPr>
        <w:pStyle w:val="JudgmentText"/>
        <w:numPr>
          <w:ilvl w:val="0"/>
          <w:numId w:val="0"/>
        </w:numPr>
        <w:tabs>
          <w:tab w:val="left" w:pos="720"/>
        </w:tabs>
        <w:ind w:left="720"/>
      </w:pPr>
    </w:p>
    <w:p w:rsidR="003D7A21" w:rsidRPr="00A23AC3" w:rsidRDefault="003D7A21" w:rsidP="003D7A21">
      <w:pPr>
        <w:pStyle w:val="JudgmentText"/>
        <w:numPr>
          <w:ilvl w:val="0"/>
          <w:numId w:val="0"/>
        </w:numPr>
      </w:pPr>
      <w:r w:rsidRPr="00A23AC3">
        <w:t xml:space="preserve">Signed, dated and delivered at Ile du Port on </w:t>
      </w:r>
      <w:r>
        <w:t>23</w:t>
      </w:r>
      <w:r w:rsidRPr="00A23AC3">
        <w:t xml:space="preserve"> September 2022 </w:t>
      </w:r>
    </w:p>
    <w:p w:rsidR="003D7A21" w:rsidRDefault="003D7A21" w:rsidP="003D7A21">
      <w:pPr>
        <w:keepNext/>
        <w:rPr>
          <w:rFonts w:ascii="Times New Roman" w:hAnsi="Times New Roman" w:cs="Times New Roman"/>
          <w:sz w:val="24"/>
          <w:szCs w:val="24"/>
        </w:rPr>
      </w:pPr>
    </w:p>
    <w:p w:rsidR="003D7A21" w:rsidRDefault="003D7A21" w:rsidP="003D7A21">
      <w:pPr>
        <w:keepNext/>
        <w:rPr>
          <w:rFonts w:ascii="Times New Roman" w:hAnsi="Times New Roman" w:cs="Times New Roman"/>
          <w:sz w:val="24"/>
          <w:szCs w:val="24"/>
        </w:rPr>
      </w:pPr>
    </w:p>
    <w:p w:rsidR="003D7A21" w:rsidRDefault="003D7A21" w:rsidP="003D7A21">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3D7A21" w:rsidRPr="00235626" w:rsidRDefault="003D7A21" w:rsidP="003D7A21">
      <w:pPr>
        <w:keepNext/>
        <w:rPr>
          <w:rFonts w:ascii="Times New Roman" w:hAnsi="Times New Roman" w:cs="Times New Roman"/>
          <w:sz w:val="24"/>
          <w:szCs w:val="24"/>
        </w:rPr>
      </w:pPr>
      <w:r>
        <w:rPr>
          <w:rFonts w:ascii="Times New Roman" w:hAnsi="Times New Roman" w:cs="Times New Roman"/>
          <w:sz w:val="24"/>
          <w:szCs w:val="24"/>
        </w:rPr>
        <w:t>Burhan J</w:t>
      </w:r>
    </w:p>
    <w:p w:rsidR="003D7A21" w:rsidRDefault="003D7A21"/>
    <w:sectPr w:rsidR="003D7A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64" w:rsidRDefault="00D66464" w:rsidP="00F01E9F">
      <w:pPr>
        <w:spacing w:after="0" w:line="240" w:lineRule="auto"/>
      </w:pPr>
      <w:r>
        <w:separator/>
      </w:r>
    </w:p>
  </w:endnote>
  <w:endnote w:type="continuationSeparator" w:id="0">
    <w:p w:rsidR="00D66464" w:rsidRDefault="00D66464" w:rsidP="00F0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60708"/>
      <w:docPartObj>
        <w:docPartGallery w:val="Page Numbers (Bottom of Page)"/>
        <w:docPartUnique/>
      </w:docPartObj>
    </w:sdtPr>
    <w:sdtEndPr>
      <w:rPr>
        <w:noProof/>
      </w:rPr>
    </w:sdtEndPr>
    <w:sdtContent>
      <w:p w:rsidR="004E102E" w:rsidRDefault="004E102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E102E" w:rsidRDefault="004E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64" w:rsidRDefault="00D66464" w:rsidP="00F01E9F">
      <w:pPr>
        <w:spacing w:after="0" w:line="240" w:lineRule="auto"/>
      </w:pPr>
      <w:r>
        <w:separator/>
      </w:r>
    </w:p>
  </w:footnote>
  <w:footnote w:type="continuationSeparator" w:id="0">
    <w:p w:rsidR="00D66464" w:rsidRDefault="00D66464" w:rsidP="00F01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i w:val="0"/>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9F"/>
    <w:rsid w:val="000442E9"/>
    <w:rsid w:val="00052DC5"/>
    <w:rsid w:val="00060CA8"/>
    <w:rsid w:val="000C654E"/>
    <w:rsid w:val="000E56C3"/>
    <w:rsid w:val="000F76A1"/>
    <w:rsid w:val="001A1D1E"/>
    <w:rsid w:val="001C34CB"/>
    <w:rsid w:val="00253C8E"/>
    <w:rsid w:val="00320BEB"/>
    <w:rsid w:val="003D7A21"/>
    <w:rsid w:val="004C00D5"/>
    <w:rsid w:val="004E102E"/>
    <w:rsid w:val="00510CB9"/>
    <w:rsid w:val="00662A25"/>
    <w:rsid w:val="006B1E41"/>
    <w:rsid w:val="007D5A9D"/>
    <w:rsid w:val="008A24BB"/>
    <w:rsid w:val="008D7DF0"/>
    <w:rsid w:val="008E6104"/>
    <w:rsid w:val="00977EBB"/>
    <w:rsid w:val="00991810"/>
    <w:rsid w:val="009A1B11"/>
    <w:rsid w:val="009B2E36"/>
    <w:rsid w:val="009D44A9"/>
    <w:rsid w:val="00A06C15"/>
    <w:rsid w:val="00A26342"/>
    <w:rsid w:val="00A8613F"/>
    <w:rsid w:val="00AB598C"/>
    <w:rsid w:val="00AC23D6"/>
    <w:rsid w:val="00B33925"/>
    <w:rsid w:val="00B61314"/>
    <w:rsid w:val="00BC74CF"/>
    <w:rsid w:val="00BF19A3"/>
    <w:rsid w:val="00C16025"/>
    <w:rsid w:val="00C30B72"/>
    <w:rsid w:val="00C653A7"/>
    <w:rsid w:val="00CC6A77"/>
    <w:rsid w:val="00D66464"/>
    <w:rsid w:val="00D72967"/>
    <w:rsid w:val="00D84C04"/>
    <w:rsid w:val="00D95C8D"/>
    <w:rsid w:val="00DA1FB3"/>
    <w:rsid w:val="00F01E9F"/>
    <w:rsid w:val="00F81525"/>
    <w:rsid w:val="00FB2F00"/>
    <w:rsid w:val="00FC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414BB-9AD1-4A1E-9170-22D82069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9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1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E9F"/>
    <w:rPr>
      <w:sz w:val="20"/>
      <w:szCs w:val="20"/>
    </w:rPr>
  </w:style>
  <w:style w:type="paragraph" w:customStyle="1" w:styleId="JudgmentText">
    <w:name w:val="Judgment Text"/>
    <w:basedOn w:val="ListParagraph"/>
    <w:qFormat/>
    <w:rsid w:val="00F01E9F"/>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F01E9F"/>
    <w:rPr>
      <w:vertAlign w:val="superscript"/>
    </w:rPr>
  </w:style>
  <w:style w:type="numbering" w:customStyle="1" w:styleId="Judgments">
    <w:name w:val="Judgments"/>
    <w:uiPriority w:val="99"/>
    <w:rsid w:val="00F01E9F"/>
    <w:pPr>
      <w:numPr>
        <w:numId w:val="2"/>
      </w:numPr>
    </w:pPr>
  </w:style>
  <w:style w:type="paragraph" w:styleId="ListParagraph">
    <w:name w:val="List Paragraph"/>
    <w:basedOn w:val="Normal"/>
    <w:uiPriority w:val="34"/>
    <w:qFormat/>
    <w:rsid w:val="00F01E9F"/>
    <w:pPr>
      <w:ind w:left="720"/>
      <w:contextualSpacing/>
    </w:pPr>
  </w:style>
  <w:style w:type="paragraph" w:customStyle="1" w:styleId="Partynames">
    <w:name w:val="Party names"/>
    <w:basedOn w:val="Normal"/>
    <w:link w:val="PartynamesChar"/>
    <w:qFormat/>
    <w:rsid w:val="00D95C8D"/>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D95C8D"/>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D95C8D"/>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D95C8D"/>
    <w:rPr>
      <w:rFonts w:ascii="Times New Roman" w:hAnsi="Times New Roman" w:cs="Times New Roman"/>
      <w:i/>
      <w:sz w:val="24"/>
      <w:szCs w:val="24"/>
      <w:lang w:val="en-GB"/>
    </w:rPr>
  </w:style>
  <w:style w:type="paragraph" w:styleId="BalloonText">
    <w:name w:val="Balloon Text"/>
    <w:basedOn w:val="Normal"/>
    <w:link w:val="BalloonTextChar"/>
    <w:uiPriority w:val="99"/>
    <w:semiHidden/>
    <w:unhideWhenUsed/>
    <w:rsid w:val="004E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02E"/>
    <w:rPr>
      <w:rFonts w:ascii="Segoe UI" w:hAnsi="Segoe UI" w:cs="Segoe UI"/>
      <w:sz w:val="18"/>
      <w:szCs w:val="18"/>
    </w:rPr>
  </w:style>
  <w:style w:type="paragraph" w:styleId="Header">
    <w:name w:val="header"/>
    <w:basedOn w:val="Normal"/>
    <w:link w:val="HeaderChar"/>
    <w:uiPriority w:val="99"/>
    <w:unhideWhenUsed/>
    <w:rsid w:val="004E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02E"/>
  </w:style>
  <w:style w:type="paragraph" w:styleId="Footer">
    <w:name w:val="footer"/>
    <w:basedOn w:val="Normal"/>
    <w:link w:val="FooterChar"/>
    <w:uiPriority w:val="99"/>
    <w:unhideWhenUsed/>
    <w:rsid w:val="004E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87C8-F433-40CC-A466-88B7C498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burhan</dc:creator>
  <cp:keywords/>
  <dc:description/>
  <cp:lastModifiedBy>mohan burhan</cp:lastModifiedBy>
  <cp:revision>3</cp:revision>
  <cp:lastPrinted>2022-09-23T08:19:00Z</cp:lastPrinted>
  <dcterms:created xsi:type="dcterms:W3CDTF">2022-09-23T07:06:00Z</dcterms:created>
  <dcterms:modified xsi:type="dcterms:W3CDTF">2022-09-23T08:21:00Z</dcterms:modified>
</cp:coreProperties>
</file>