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8A7A57"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SUPREME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1E14C3">
      <w:pPr>
        <w:spacing w:after="0" w:line="240" w:lineRule="auto"/>
        <w:ind w:left="630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Not Reportable</w:t>
      </w:r>
    </w:p>
    <w:p w:rsidR="002E2AE3" w:rsidRPr="004A2599" w:rsidRDefault="00BC73B1" w:rsidP="001E14C3">
      <w:pPr>
        <w:spacing w:after="0" w:line="240" w:lineRule="auto"/>
        <w:ind w:left="6120" w:firstLine="360"/>
        <w:rPr>
          <w:rFonts w:ascii="Times New Roman" w:hAnsi="Times New Roman" w:cs="Times New Roman"/>
          <w:sz w:val="24"/>
          <w:szCs w:val="24"/>
        </w:rPr>
      </w:pPr>
      <w:r>
        <w:rPr>
          <w:rFonts w:ascii="Times New Roman" w:hAnsi="Times New Roman" w:cs="Times New Roman"/>
          <w:sz w:val="24"/>
          <w:szCs w:val="24"/>
        </w:rPr>
        <w:t>[20</w:t>
      </w:r>
      <w:r w:rsidR="003F6F76">
        <w:rPr>
          <w:rFonts w:ascii="Times New Roman" w:hAnsi="Times New Roman" w:cs="Times New Roman"/>
          <w:sz w:val="24"/>
          <w:szCs w:val="24"/>
        </w:rPr>
        <w:t>22</w:t>
      </w:r>
      <w:r w:rsidR="00BE0D92">
        <w:rPr>
          <w:rFonts w:ascii="Times New Roman" w:hAnsi="Times New Roman" w:cs="Times New Roman"/>
          <w:sz w:val="24"/>
          <w:szCs w:val="24"/>
        </w:rPr>
        <w:t>] SCSC 1069</w:t>
      </w:r>
    </w:p>
    <w:p w:rsidR="002E2AE3" w:rsidRPr="004A2599" w:rsidRDefault="008577B7" w:rsidP="001E14C3">
      <w:pPr>
        <w:spacing w:after="0" w:line="240" w:lineRule="auto"/>
        <w:ind w:left="5940" w:firstLine="54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F36484">
        <w:rPr>
          <w:rFonts w:ascii="Times New Roman" w:hAnsi="Times New Roman" w:cs="Times New Roman"/>
          <w:sz w:val="24"/>
          <w:szCs w:val="24"/>
        </w:rPr>
        <w:t>04</w:t>
      </w:r>
      <w:r w:rsidR="00977F41">
        <w:rPr>
          <w:rFonts w:ascii="Times New Roman" w:hAnsi="Times New Roman" w:cs="Times New Roman"/>
          <w:sz w:val="24"/>
          <w:szCs w:val="24"/>
        </w:rPr>
        <w:t>/2021</w:t>
      </w:r>
    </w:p>
    <w:p w:rsidR="002E2AE3" w:rsidRPr="004A2599" w:rsidRDefault="002E2AE3" w:rsidP="001E14C3">
      <w:pPr>
        <w:spacing w:after="0" w:line="240" w:lineRule="auto"/>
        <w:ind w:left="5760" w:firstLine="72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rising in</w:t>
      </w:r>
      <w:r w:rsidR="001E14C3">
        <w:rPr>
          <w:rFonts w:ascii="Times New Roman" w:hAnsi="Times New Roman" w:cs="Times New Roman"/>
          <w:sz w:val="24"/>
          <w:szCs w:val="24"/>
        </w:rPr>
        <w:t xml:space="preserve"> C</w:t>
      </w:r>
      <w:r w:rsidR="00882FB9">
        <w:rPr>
          <w:rFonts w:ascii="Times New Roman" w:hAnsi="Times New Roman" w:cs="Times New Roman"/>
          <w:sz w:val="24"/>
          <w:szCs w:val="24"/>
        </w:rPr>
        <w:t>S23</w:t>
      </w:r>
      <w:r w:rsidRPr="004A2599">
        <w:rPr>
          <w:rFonts w:ascii="Times New Roman" w:hAnsi="Times New Roman" w:cs="Times New Roman"/>
          <w:sz w:val="24"/>
          <w:szCs w:val="24"/>
        </w:rPr>
        <w:t>/</w:t>
      </w:r>
      <w:r w:rsidR="00882FB9">
        <w:rPr>
          <w:rFonts w:ascii="Times New Roman" w:hAnsi="Times New Roman" w:cs="Times New Roman"/>
          <w:sz w:val="24"/>
          <w:szCs w:val="24"/>
        </w:rPr>
        <w:t>19)</w:t>
      </w: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882FB9" w:rsidP="00214DB4">
      <w:pPr>
        <w:pStyle w:val="Partynames"/>
      </w:pPr>
      <w:r>
        <w:t>EASTERN EUROPEAN ENGINEERING LIMITED</w:t>
      </w:r>
      <w:r w:rsidR="002E2AE3" w:rsidRPr="00214DB4">
        <w:tab/>
      </w:r>
      <w:r>
        <w:tab/>
      </w:r>
      <w:r>
        <w:tab/>
      </w:r>
      <w:r w:rsidR="001E14C3">
        <w:t>Applicant</w:t>
      </w:r>
    </w:p>
    <w:p w:rsidR="002E2AE3" w:rsidRPr="00214DB4" w:rsidRDefault="00882FB9" w:rsidP="00214DB4">
      <w:pPr>
        <w:pStyle w:val="Attorneysnames"/>
      </w:pPr>
      <w:r w:rsidRPr="004A2599">
        <w:t>(</w:t>
      </w:r>
      <w:r>
        <w:t>rep. by</w:t>
      </w:r>
      <w:r w:rsidRPr="00D93048">
        <w:t xml:space="preserve"> </w:t>
      </w:r>
      <w:r>
        <w:t>Alexandra Madeleine</w:t>
      </w:r>
      <w:r w:rsidRPr="004A2599">
        <w:t>)</w:t>
      </w:r>
      <w:bookmarkStart w:id="0" w:name="_GoBack"/>
      <w:bookmarkEnd w:id="0"/>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2B757B" w:rsidP="00214DB4">
      <w:pPr>
        <w:pStyle w:val="Partynames"/>
      </w:pPr>
      <w:r>
        <w:t>VIJAY</w:t>
      </w:r>
      <w:r w:rsidR="00882FB9">
        <w:t xml:space="preserve"> CONSTRUCTION (PROPRIETARY) LIMITED</w:t>
      </w:r>
      <w:r w:rsidR="001E14C3">
        <w:tab/>
      </w:r>
      <w:r w:rsidR="005C7D16">
        <w:t>1</w:t>
      </w:r>
      <w:r w:rsidR="005C7D16" w:rsidRPr="005C7D16">
        <w:rPr>
          <w:vertAlign w:val="superscript"/>
        </w:rPr>
        <w:t>st</w:t>
      </w:r>
      <w:r w:rsidR="005C7D16">
        <w:t xml:space="preserve"> </w:t>
      </w:r>
      <w:r w:rsidR="002E2AE3" w:rsidRPr="004A2599">
        <w:t>Respondent</w:t>
      </w:r>
    </w:p>
    <w:p w:rsidR="002E2AE3" w:rsidRPr="00882FB9" w:rsidRDefault="00882FB9" w:rsidP="00214DB4">
      <w:pPr>
        <w:tabs>
          <w:tab w:val="left" w:pos="540"/>
          <w:tab w:val="left" w:pos="4092"/>
        </w:tabs>
        <w:spacing w:after="0" w:line="240" w:lineRule="auto"/>
        <w:rPr>
          <w:rFonts w:ascii="Times New Roman" w:hAnsi="Times New Roman" w:cs="Times New Roman"/>
          <w:i/>
          <w:sz w:val="24"/>
          <w:szCs w:val="24"/>
        </w:rPr>
      </w:pPr>
      <w:r w:rsidRPr="00882FB9">
        <w:rPr>
          <w:rFonts w:ascii="Times New Roman" w:hAnsi="Times New Roman" w:cs="Times New Roman"/>
          <w:i/>
          <w:sz w:val="24"/>
          <w:szCs w:val="24"/>
        </w:rPr>
        <w:t>(rep. by Bernard Georges)</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F463E1" w:rsidRDefault="00405958" w:rsidP="00214DB4">
      <w:pPr>
        <w:spacing w:before="120" w:after="0" w:line="240" w:lineRule="auto"/>
        <w:ind w:left="1886" w:hanging="1886"/>
        <w:rPr>
          <w:rFonts w:ascii="Times New Roman" w:hAnsi="Times New Roman" w:cs="Times New Roman"/>
          <w:sz w:val="24"/>
          <w:szCs w:val="24"/>
        </w:rPr>
      </w:pPr>
      <w:r w:rsidRPr="00F463E1">
        <w:rPr>
          <w:rFonts w:ascii="Times New Roman" w:hAnsi="Times New Roman" w:cs="Times New Roman"/>
          <w:b/>
          <w:sz w:val="24"/>
          <w:szCs w:val="24"/>
        </w:rPr>
        <w:t>Neutral Citation:</w:t>
      </w:r>
      <w:r w:rsidR="004A2599" w:rsidRPr="00F463E1">
        <w:rPr>
          <w:rFonts w:ascii="Times New Roman" w:hAnsi="Times New Roman" w:cs="Times New Roman"/>
          <w:sz w:val="24"/>
          <w:szCs w:val="24"/>
        </w:rPr>
        <w:t xml:space="preserve"> </w:t>
      </w:r>
      <w:r w:rsidR="004A2599" w:rsidRPr="00F463E1">
        <w:rPr>
          <w:rFonts w:ascii="Times New Roman" w:hAnsi="Times New Roman" w:cs="Times New Roman"/>
          <w:sz w:val="24"/>
          <w:szCs w:val="24"/>
        </w:rPr>
        <w:tab/>
      </w:r>
      <w:r w:rsidR="00882FB9" w:rsidRPr="00F463E1">
        <w:rPr>
          <w:rFonts w:ascii="Times New Roman" w:hAnsi="Times New Roman" w:cs="Times New Roman"/>
          <w:i/>
          <w:sz w:val="24"/>
          <w:szCs w:val="24"/>
        </w:rPr>
        <w:t xml:space="preserve">Eastern European Engineering Ltd v </w:t>
      </w:r>
      <w:r w:rsidR="002B757B" w:rsidRPr="00F463E1">
        <w:rPr>
          <w:rFonts w:ascii="Times New Roman" w:hAnsi="Times New Roman" w:cs="Times New Roman"/>
          <w:i/>
          <w:sz w:val="24"/>
          <w:szCs w:val="24"/>
        </w:rPr>
        <w:t>Vijay</w:t>
      </w:r>
      <w:r w:rsidR="001E14C3" w:rsidRPr="00F463E1">
        <w:rPr>
          <w:rFonts w:ascii="Times New Roman" w:hAnsi="Times New Roman" w:cs="Times New Roman"/>
          <w:i/>
          <w:sz w:val="24"/>
          <w:szCs w:val="24"/>
        </w:rPr>
        <w:t xml:space="preserve"> Construction (P</w:t>
      </w:r>
      <w:r w:rsidR="001E6281" w:rsidRPr="00F463E1">
        <w:rPr>
          <w:rFonts w:ascii="Times New Roman" w:hAnsi="Times New Roman" w:cs="Times New Roman"/>
          <w:i/>
          <w:sz w:val="24"/>
          <w:szCs w:val="24"/>
        </w:rPr>
        <w:t>t</w:t>
      </w:r>
      <w:r w:rsidR="001E14C3" w:rsidRPr="00F463E1">
        <w:rPr>
          <w:rFonts w:ascii="Times New Roman" w:hAnsi="Times New Roman" w:cs="Times New Roman"/>
          <w:i/>
          <w:sz w:val="24"/>
          <w:szCs w:val="24"/>
        </w:rPr>
        <w:t>y) Lt</w:t>
      </w:r>
      <w:r w:rsidR="001E6281" w:rsidRPr="00F463E1">
        <w:rPr>
          <w:rFonts w:ascii="Times New Roman" w:hAnsi="Times New Roman" w:cs="Times New Roman"/>
          <w:i/>
          <w:sz w:val="24"/>
          <w:szCs w:val="24"/>
        </w:rPr>
        <w:t>d</w:t>
      </w:r>
      <w:r w:rsidR="00D31F1B" w:rsidRPr="00F463E1">
        <w:rPr>
          <w:rFonts w:ascii="Times New Roman" w:hAnsi="Times New Roman" w:cs="Times New Roman"/>
          <w:i/>
          <w:sz w:val="24"/>
          <w:szCs w:val="24"/>
        </w:rPr>
        <w:t xml:space="preserve"> </w:t>
      </w:r>
      <w:r w:rsidR="00D31F1B" w:rsidRPr="00F463E1">
        <w:rPr>
          <w:rFonts w:ascii="Times New Roman" w:hAnsi="Times New Roman" w:cs="Times New Roman"/>
          <w:sz w:val="24"/>
          <w:szCs w:val="24"/>
        </w:rPr>
        <w:t>(</w:t>
      </w:r>
      <w:r w:rsidR="001E14C3" w:rsidRPr="00F463E1">
        <w:rPr>
          <w:rFonts w:ascii="Times New Roman" w:hAnsi="Times New Roman" w:cs="Times New Roman"/>
          <w:sz w:val="24"/>
          <w:szCs w:val="24"/>
        </w:rPr>
        <w:t>MA</w:t>
      </w:r>
      <w:r w:rsidR="00F36484" w:rsidRPr="00F463E1">
        <w:rPr>
          <w:rFonts w:ascii="Times New Roman" w:hAnsi="Times New Roman" w:cs="Times New Roman"/>
          <w:sz w:val="24"/>
          <w:szCs w:val="24"/>
        </w:rPr>
        <w:t>04</w:t>
      </w:r>
      <w:r w:rsidR="00882FB9" w:rsidRPr="00F463E1">
        <w:rPr>
          <w:rFonts w:ascii="Times New Roman" w:hAnsi="Times New Roman" w:cs="Times New Roman"/>
          <w:sz w:val="24"/>
          <w:szCs w:val="24"/>
        </w:rPr>
        <w:t>/202</w:t>
      </w:r>
      <w:r w:rsidR="00977F41" w:rsidRPr="00F463E1">
        <w:rPr>
          <w:rFonts w:ascii="Times New Roman" w:hAnsi="Times New Roman" w:cs="Times New Roman"/>
          <w:sz w:val="24"/>
          <w:szCs w:val="24"/>
        </w:rPr>
        <w:t>1</w:t>
      </w:r>
      <w:r w:rsidR="00662CEA" w:rsidRPr="00F463E1">
        <w:rPr>
          <w:rFonts w:ascii="Times New Roman" w:hAnsi="Times New Roman" w:cs="Times New Roman"/>
          <w:sz w:val="24"/>
          <w:szCs w:val="24"/>
        </w:rPr>
        <w:t>) [20</w:t>
      </w:r>
      <w:r w:rsidR="00882FB9" w:rsidRPr="00F463E1">
        <w:rPr>
          <w:rFonts w:ascii="Times New Roman" w:hAnsi="Times New Roman" w:cs="Times New Roman"/>
          <w:sz w:val="24"/>
          <w:szCs w:val="24"/>
        </w:rPr>
        <w:t>2</w:t>
      </w:r>
      <w:r w:rsidR="00977F41" w:rsidRPr="00F463E1">
        <w:rPr>
          <w:rFonts w:ascii="Times New Roman" w:hAnsi="Times New Roman" w:cs="Times New Roman"/>
          <w:sz w:val="24"/>
          <w:szCs w:val="24"/>
        </w:rPr>
        <w:t>2</w:t>
      </w:r>
      <w:r w:rsidR="00BE0D92">
        <w:rPr>
          <w:rFonts w:ascii="Times New Roman" w:hAnsi="Times New Roman" w:cs="Times New Roman"/>
          <w:sz w:val="24"/>
          <w:szCs w:val="24"/>
        </w:rPr>
        <w:t xml:space="preserve">] SCSC 1069 </w:t>
      </w:r>
      <w:r w:rsidR="00881128" w:rsidRPr="00F463E1">
        <w:rPr>
          <w:rFonts w:ascii="Times New Roman" w:hAnsi="Times New Roman" w:cs="Times New Roman"/>
          <w:sz w:val="24"/>
          <w:szCs w:val="24"/>
        </w:rPr>
        <w:t>(</w:t>
      </w:r>
      <w:r w:rsidR="00F463E1" w:rsidRPr="00F463E1">
        <w:rPr>
          <w:rFonts w:ascii="Times New Roman" w:hAnsi="Times New Roman" w:cs="Times New Roman"/>
          <w:sz w:val="24"/>
          <w:szCs w:val="24"/>
        </w:rPr>
        <w:t>02 December</w:t>
      </w:r>
      <w:r w:rsidR="00881128" w:rsidRPr="00F463E1">
        <w:rPr>
          <w:rFonts w:ascii="Times New Roman" w:hAnsi="Times New Roman" w:cs="Times New Roman"/>
          <w:sz w:val="24"/>
          <w:szCs w:val="24"/>
        </w:rPr>
        <w:t xml:space="preserve"> </w:t>
      </w:r>
      <w:r w:rsidR="00977F41" w:rsidRPr="00F463E1">
        <w:rPr>
          <w:rFonts w:ascii="Times New Roman" w:hAnsi="Times New Roman" w:cs="Times New Roman"/>
          <w:sz w:val="24"/>
          <w:szCs w:val="24"/>
        </w:rPr>
        <w:t>2022</w:t>
      </w:r>
      <w:r w:rsidR="00D31F1B" w:rsidRPr="00F463E1">
        <w:rPr>
          <w:rFonts w:ascii="Times New Roman" w:hAnsi="Times New Roman" w:cs="Times New Roman"/>
          <w:sz w:val="24"/>
          <w:szCs w:val="24"/>
        </w:rPr>
        <w:t>).</w:t>
      </w:r>
    </w:p>
    <w:p w:rsidR="002E2AE3" w:rsidRPr="00F463E1" w:rsidRDefault="009F125D" w:rsidP="00214DB4">
      <w:pPr>
        <w:spacing w:after="0" w:line="240" w:lineRule="auto"/>
        <w:ind w:left="1890" w:hanging="1890"/>
        <w:rPr>
          <w:rFonts w:ascii="Times New Roman" w:hAnsi="Times New Roman" w:cs="Times New Roman"/>
          <w:sz w:val="24"/>
          <w:szCs w:val="24"/>
        </w:rPr>
      </w:pPr>
      <w:r w:rsidRPr="00F463E1">
        <w:rPr>
          <w:rFonts w:ascii="Times New Roman" w:hAnsi="Times New Roman" w:cs="Times New Roman"/>
          <w:b/>
          <w:sz w:val="24"/>
          <w:szCs w:val="24"/>
        </w:rPr>
        <w:t>Before</w:t>
      </w:r>
      <w:r w:rsidR="00405958" w:rsidRPr="00F463E1">
        <w:rPr>
          <w:rFonts w:ascii="Times New Roman" w:hAnsi="Times New Roman" w:cs="Times New Roman"/>
          <w:b/>
          <w:sz w:val="24"/>
          <w:szCs w:val="24"/>
        </w:rPr>
        <w:t xml:space="preserve">: </w:t>
      </w:r>
      <w:r w:rsidR="004A2599" w:rsidRPr="00F463E1">
        <w:rPr>
          <w:rFonts w:ascii="Times New Roman" w:hAnsi="Times New Roman" w:cs="Times New Roman"/>
          <w:b/>
          <w:sz w:val="24"/>
          <w:szCs w:val="24"/>
        </w:rPr>
        <w:tab/>
      </w:r>
      <w:r w:rsidR="001E14C3" w:rsidRPr="00F463E1">
        <w:rPr>
          <w:rFonts w:ascii="Times New Roman" w:hAnsi="Times New Roman" w:cs="Times New Roman"/>
          <w:sz w:val="24"/>
          <w:szCs w:val="24"/>
        </w:rPr>
        <w:t>E. Carolus J</w:t>
      </w:r>
    </w:p>
    <w:p w:rsidR="00344425" w:rsidRPr="00F463E1" w:rsidRDefault="00346D7F" w:rsidP="00214DB4">
      <w:pPr>
        <w:spacing w:after="0" w:line="240" w:lineRule="auto"/>
        <w:ind w:left="1890" w:hanging="1890"/>
        <w:rPr>
          <w:rFonts w:ascii="Times New Roman" w:hAnsi="Times New Roman" w:cs="Times New Roman"/>
          <w:sz w:val="24"/>
          <w:szCs w:val="24"/>
        </w:rPr>
      </w:pPr>
      <w:r w:rsidRPr="00F463E1">
        <w:rPr>
          <w:rFonts w:ascii="Times New Roman" w:hAnsi="Times New Roman" w:cs="Times New Roman"/>
          <w:b/>
          <w:sz w:val="24"/>
          <w:szCs w:val="24"/>
        </w:rPr>
        <w:t xml:space="preserve">Summary: </w:t>
      </w:r>
      <w:r w:rsidR="00F33B83" w:rsidRPr="00F463E1">
        <w:rPr>
          <w:rFonts w:ascii="Times New Roman" w:hAnsi="Times New Roman" w:cs="Times New Roman"/>
          <w:b/>
          <w:sz w:val="24"/>
          <w:szCs w:val="24"/>
        </w:rPr>
        <w:tab/>
      </w:r>
      <w:r w:rsidR="00F36484" w:rsidRPr="00F463E1">
        <w:rPr>
          <w:rFonts w:ascii="Times New Roman" w:hAnsi="Times New Roman" w:cs="Times New Roman"/>
          <w:sz w:val="24"/>
          <w:szCs w:val="24"/>
        </w:rPr>
        <w:t>Summons to show cause - contempt</w:t>
      </w:r>
    </w:p>
    <w:p w:rsidR="00344425" w:rsidRPr="003F6F76"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F463E1">
        <w:rPr>
          <w:rFonts w:ascii="Times New Roman" w:hAnsi="Times New Roman" w:cs="Times New Roman"/>
          <w:b/>
          <w:sz w:val="24"/>
          <w:szCs w:val="24"/>
        </w:rPr>
        <w:t>Delivered:</w:t>
      </w:r>
      <w:r w:rsidR="004A2599" w:rsidRPr="00F463E1">
        <w:rPr>
          <w:rFonts w:ascii="Times New Roman" w:hAnsi="Times New Roman" w:cs="Times New Roman"/>
          <w:b/>
          <w:sz w:val="24"/>
          <w:szCs w:val="24"/>
        </w:rPr>
        <w:tab/>
      </w:r>
      <w:r w:rsidR="00F463E1" w:rsidRPr="00F463E1">
        <w:rPr>
          <w:rFonts w:ascii="Times New Roman" w:hAnsi="Times New Roman" w:cs="Times New Roman"/>
          <w:sz w:val="24"/>
          <w:szCs w:val="24"/>
        </w:rPr>
        <w:t>02 December</w:t>
      </w:r>
      <w:r w:rsidR="00547CED" w:rsidRPr="00F463E1">
        <w:rPr>
          <w:rFonts w:ascii="Times New Roman" w:hAnsi="Times New Roman" w:cs="Times New Roman"/>
          <w:sz w:val="24"/>
          <w:szCs w:val="24"/>
        </w:rPr>
        <w:t xml:space="preserve"> </w:t>
      </w:r>
      <w:r w:rsidR="00977F41" w:rsidRPr="00F463E1">
        <w:rPr>
          <w:rFonts w:ascii="Times New Roman" w:hAnsi="Times New Roman" w:cs="Times New Roman"/>
          <w:sz w:val="24"/>
          <w:szCs w:val="24"/>
        </w:rPr>
        <w:t>2022</w:t>
      </w:r>
    </w:p>
    <w:p w:rsidR="00ED0BFC" w:rsidRDefault="00ED0BFC" w:rsidP="00F463E1">
      <w:pPr>
        <w:tabs>
          <w:tab w:val="left" w:pos="2892"/>
        </w:tabs>
        <w:spacing w:before="120" w:after="0" w:line="240" w:lineRule="auto"/>
        <w:jc w:val="center"/>
        <w:rPr>
          <w:rFonts w:ascii="Times New Roman" w:hAnsi="Times New Roman" w:cs="Times New Roman"/>
          <w:b/>
          <w:sz w:val="24"/>
          <w:szCs w:val="24"/>
        </w:rPr>
      </w:pPr>
      <w:r w:rsidRPr="003F6F76">
        <w:rPr>
          <w:rFonts w:ascii="Times New Roman" w:hAnsi="Times New Roman" w:cs="Times New Roman"/>
          <w:b/>
          <w:sz w:val="24"/>
          <w:szCs w:val="24"/>
        </w:rPr>
        <w:t>ORDER</w:t>
      </w:r>
    </w:p>
    <w:p w:rsidR="001E3C08" w:rsidRPr="004A2599" w:rsidRDefault="001E3C08" w:rsidP="00F463E1">
      <w:pPr>
        <w:tabs>
          <w:tab w:val="left" w:pos="2892"/>
        </w:tabs>
        <w:spacing w:before="120" w:after="0" w:line="240" w:lineRule="auto"/>
        <w:jc w:val="center"/>
        <w:rPr>
          <w:rFonts w:ascii="Times New Roman" w:hAnsi="Times New Roman" w:cs="Times New Roman"/>
          <w:b/>
          <w:sz w:val="24"/>
          <w:szCs w:val="24"/>
        </w:rPr>
      </w:pPr>
    </w:p>
    <w:p w:rsidR="003F6F76" w:rsidRDefault="00F463E1" w:rsidP="00F463E1">
      <w:pPr>
        <w:pStyle w:val="JudgmentText"/>
        <w:numPr>
          <w:ilvl w:val="0"/>
          <w:numId w:val="0"/>
        </w:numPr>
        <w:jc w:val="center"/>
      </w:pPr>
      <w:r>
        <w:t>The Notice of Motion is dismissed with costs</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9117AC"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44425"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Pr="005B12AA" w:rsidRDefault="009C4C3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5B12AA" w:rsidRPr="00727A33" w:rsidRDefault="00BB76D7" w:rsidP="005B12AA">
      <w:pPr>
        <w:pStyle w:val="Jjmntheading1"/>
      </w:pPr>
      <w:r>
        <w:t>Notice of Motion</w:t>
      </w:r>
    </w:p>
    <w:p w:rsidR="005C7D16" w:rsidRDefault="005C7D16" w:rsidP="007C6495">
      <w:pPr>
        <w:pStyle w:val="JudgmentText"/>
      </w:pPr>
      <w:r>
        <w:t xml:space="preserve">This Ruling arises out of a Notice of Motion made by </w:t>
      </w:r>
      <w:r w:rsidRPr="00B96BD9">
        <w:t>Eastern European Engineering Ltd</w:t>
      </w:r>
      <w:r>
        <w:t xml:space="preserve"> (“EEEL”) seeking</w:t>
      </w:r>
      <w:r w:rsidR="00F20F43">
        <w:t xml:space="preserve"> orders</w:t>
      </w:r>
      <w:r>
        <w:t xml:space="preserve"> from this Court in the exercise of its inherent jurisdiction, against the 1</w:t>
      </w:r>
      <w:r w:rsidRPr="005C7D16">
        <w:rPr>
          <w:vertAlign w:val="superscript"/>
        </w:rPr>
        <w:t>st</w:t>
      </w:r>
      <w:r>
        <w:t xml:space="preserve"> respondent </w:t>
      </w:r>
      <w:r w:rsidRPr="00B96BD9">
        <w:t xml:space="preserve">Vijay Construction (Pty) Ltd </w:t>
      </w:r>
      <w:r>
        <w:t>(“</w:t>
      </w:r>
      <w:r w:rsidR="00E92774">
        <w:t>VIJAY</w:t>
      </w:r>
      <w:r>
        <w:t>”) and the 2</w:t>
      </w:r>
      <w:r w:rsidRPr="005C7D16">
        <w:rPr>
          <w:vertAlign w:val="superscript"/>
        </w:rPr>
        <w:t>nd</w:t>
      </w:r>
      <w:r>
        <w:t xml:space="preserve"> to 5</w:t>
      </w:r>
      <w:r w:rsidRPr="005C7D16">
        <w:rPr>
          <w:vertAlign w:val="superscript"/>
        </w:rPr>
        <w:t>th</w:t>
      </w:r>
      <w:r>
        <w:t xml:space="preserve"> respondents who are directors of the 1</w:t>
      </w:r>
      <w:r w:rsidRPr="005C7D16">
        <w:rPr>
          <w:vertAlign w:val="superscript"/>
        </w:rPr>
        <w:t>st</w:t>
      </w:r>
      <w:r>
        <w:t xml:space="preserve"> respondent company</w:t>
      </w:r>
      <w:r w:rsidR="005D057A">
        <w:t>. The orders sought are as follows:</w:t>
      </w:r>
    </w:p>
    <w:p w:rsidR="005C7D16" w:rsidRDefault="005C7D16" w:rsidP="005C7D16">
      <w:pPr>
        <w:pStyle w:val="NumberedQuotationindent1"/>
      </w:pPr>
      <w:r>
        <w:lastRenderedPageBreak/>
        <w:t xml:space="preserve">An order for summons to issue on the Respondents above-named to show cause as to why they should not be held in contempt of this Court for having misled and/or given misleading information </w:t>
      </w:r>
      <w:r w:rsidR="001F7CB2">
        <w:t>and evidence to the Court;</w:t>
      </w:r>
    </w:p>
    <w:p w:rsidR="00E92774" w:rsidRDefault="00E92774" w:rsidP="00E92774">
      <w:pPr>
        <w:pStyle w:val="NumberedQuotationindent1"/>
        <w:numPr>
          <w:ilvl w:val="0"/>
          <w:numId w:val="0"/>
        </w:numPr>
        <w:ind w:left="1080"/>
      </w:pPr>
    </w:p>
    <w:p w:rsidR="001F7CB2" w:rsidRDefault="001F7CB2" w:rsidP="005C7D16">
      <w:pPr>
        <w:pStyle w:val="NumberedQuotationindent1"/>
      </w:pPr>
      <w:r>
        <w:t xml:space="preserve">An order that the Respondents above-named have acted in contempt of this </w:t>
      </w:r>
      <w:r w:rsidR="00E92774">
        <w:t>Court and punishing the said Respondents for contempt;</w:t>
      </w:r>
    </w:p>
    <w:p w:rsidR="00E92774" w:rsidRDefault="00E92774" w:rsidP="00E92774">
      <w:pPr>
        <w:pStyle w:val="NumberedQuotationindent1"/>
        <w:numPr>
          <w:ilvl w:val="0"/>
          <w:numId w:val="0"/>
        </w:numPr>
      </w:pPr>
    </w:p>
    <w:p w:rsidR="00E92774" w:rsidRDefault="00E92774" w:rsidP="005C7D16">
      <w:pPr>
        <w:pStyle w:val="NumberedQuotationindent1"/>
      </w:pPr>
      <w:r>
        <w:t>Any other or further orders the Court deems fit in the circumstances.</w:t>
      </w:r>
    </w:p>
    <w:p w:rsidR="00E92774" w:rsidRDefault="00E92774" w:rsidP="00E92774">
      <w:pPr>
        <w:pStyle w:val="NumberedQuotationindent1"/>
        <w:numPr>
          <w:ilvl w:val="0"/>
          <w:numId w:val="0"/>
        </w:numPr>
        <w:ind w:left="1080"/>
      </w:pPr>
    </w:p>
    <w:p w:rsidR="00861A7B" w:rsidRDefault="00861A7B" w:rsidP="007C6495">
      <w:pPr>
        <w:pStyle w:val="JudgmentText"/>
      </w:pPr>
      <w:r>
        <w:t xml:space="preserve">The Notice of Motion is supported by an affidavit sworn by </w:t>
      </w:r>
      <w:r w:rsidR="00C207E3">
        <w:t>V</w:t>
      </w:r>
      <w:r w:rsidR="00FA19F5">
        <w:t>adim Zaslonov</w:t>
      </w:r>
      <w:r w:rsidR="00C207E3">
        <w:t xml:space="preserve"> (“VZ”</w:t>
      </w:r>
      <w:r w:rsidR="00FA19F5">
        <w:t>)</w:t>
      </w:r>
      <w:r>
        <w:t>, who avers therein that he is authorised to swear the affidavit as a director of EEEL.</w:t>
      </w:r>
    </w:p>
    <w:p w:rsidR="00504096" w:rsidRDefault="00B96BD9" w:rsidP="007C6495">
      <w:pPr>
        <w:pStyle w:val="JudgmentText"/>
      </w:pPr>
      <w:r>
        <w:t>By way of background, the applicant</w:t>
      </w:r>
      <w:r w:rsidR="00F36484">
        <w:t xml:space="preserve"> </w:t>
      </w:r>
      <w:r w:rsidRPr="00B96BD9">
        <w:t>Eastern European Engineering Ltd</w:t>
      </w:r>
      <w:r>
        <w:t xml:space="preserve"> (“</w:t>
      </w:r>
      <w:r w:rsidR="00F36484">
        <w:t>EEEL</w:t>
      </w:r>
      <w:r>
        <w:t xml:space="preserve">”) </w:t>
      </w:r>
      <w:r w:rsidR="00F36484">
        <w:t xml:space="preserve">and </w:t>
      </w:r>
      <w:r>
        <w:t>the 1</w:t>
      </w:r>
      <w:r w:rsidRPr="00B96BD9">
        <w:rPr>
          <w:vertAlign w:val="superscript"/>
        </w:rPr>
        <w:t>st</w:t>
      </w:r>
      <w:r>
        <w:t xml:space="preserve"> respondent </w:t>
      </w:r>
      <w:r w:rsidRPr="00B96BD9">
        <w:t xml:space="preserve">Vijay Construction (Pty) Ltd </w:t>
      </w:r>
      <w:r>
        <w:t>(“</w:t>
      </w:r>
      <w:r w:rsidR="004A44BC">
        <w:t>VIJAY</w:t>
      </w:r>
      <w:r>
        <w:t>”)</w:t>
      </w:r>
      <w:r w:rsidR="00F36484">
        <w:t xml:space="preserve"> entered into various con</w:t>
      </w:r>
      <w:r w:rsidR="00504096">
        <w:t>tracts for the construction of the S</w:t>
      </w:r>
      <w:r w:rsidR="00F36484">
        <w:t>avoy Resort</w:t>
      </w:r>
      <w:r w:rsidR="00504096">
        <w:t xml:space="preserve"> and Spa Hotel. Disputes arose between the parties which were referred to arbitration in Paris, France, pursuant to arbitration clauses in the contracts which provided that such disputes should be finally settled by arbitration under the Rules of Arbitration of the ICC. The</w:t>
      </w:r>
      <w:r>
        <w:t>se</w:t>
      </w:r>
      <w:r w:rsidR="00504096">
        <w:t xml:space="preserve"> Rules provide</w:t>
      </w:r>
      <w:r>
        <w:t xml:space="preserve">, </w:t>
      </w:r>
      <w:r w:rsidRPr="00B96BD9">
        <w:rPr>
          <w:i/>
        </w:rPr>
        <w:t>inter alia</w:t>
      </w:r>
      <w:r>
        <w:t>,</w:t>
      </w:r>
      <w:r w:rsidR="00504096">
        <w:t xml:space="preserve"> that by submitting a dispute to arbitration under the Rules, the parties undertake to carry out any award without delay and shall be deemed to have waived their right to any form of recourse insofar as such waiver can validly be made.</w:t>
      </w:r>
      <w:r>
        <w:t xml:space="preserve"> The arbitral tribunal delivered an award in EEEL’s favour ordering Vijay to pay certain sums of money to EEEL</w:t>
      </w:r>
      <w:r w:rsidR="00F20F43">
        <w:t xml:space="preserve"> in damages with interests and costs</w:t>
      </w:r>
      <w:r>
        <w:t>.</w:t>
      </w:r>
      <w:r w:rsidR="00861A7B">
        <w:t xml:space="preserve"> </w:t>
      </w:r>
    </w:p>
    <w:p w:rsidR="00861A7B" w:rsidRDefault="00E92774" w:rsidP="007B3D3B">
      <w:pPr>
        <w:pStyle w:val="JudgmentText"/>
      </w:pPr>
      <w:r>
        <w:t xml:space="preserve">In his affidavit </w:t>
      </w:r>
      <w:r w:rsidR="00C207E3">
        <w:t>VZ</w:t>
      </w:r>
      <w:r w:rsidR="00861A7B">
        <w:t xml:space="preserve"> </w:t>
      </w:r>
      <w:r>
        <w:t xml:space="preserve">avers that </w:t>
      </w:r>
      <w:r w:rsidR="00B6436D">
        <w:t>the</w:t>
      </w:r>
      <w:r w:rsidR="00797F99">
        <w:t xml:space="preserve"> </w:t>
      </w:r>
      <w:r>
        <w:t>2</w:t>
      </w:r>
      <w:r w:rsidRPr="00E92774">
        <w:rPr>
          <w:vertAlign w:val="superscript"/>
        </w:rPr>
        <w:t>nd</w:t>
      </w:r>
      <w:r>
        <w:t xml:space="preserve"> to 5</w:t>
      </w:r>
      <w:r w:rsidRPr="00E92774">
        <w:rPr>
          <w:vertAlign w:val="superscript"/>
        </w:rPr>
        <w:t>th</w:t>
      </w:r>
      <w:r>
        <w:t xml:space="preserve"> </w:t>
      </w:r>
      <w:r w:rsidR="00B6436D">
        <w:t xml:space="preserve">respondents who are VIJAY’s </w:t>
      </w:r>
      <w:r>
        <w:t>directors</w:t>
      </w:r>
      <w:r w:rsidR="00F405F9">
        <w:t xml:space="preserve"> and</w:t>
      </w:r>
      <w:r w:rsidR="003427D7">
        <w:t xml:space="preserve"> </w:t>
      </w:r>
      <w:r>
        <w:t>are and were responsible for the control and management of the affairs of the company</w:t>
      </w:r>
      <w:r w:rsidR="00B6436D">
        <w:t xml:space="preserve"> (1) </w:t>
      </w:r>
      <w:r w:rsidR="00B6436D" w:rsidRPr="003427D7">
        <w:rPr>
          <w:i/>
        </w:rPr>
        <w:t xml:space="preserve">“failed and refused VIJAY to comply with the award </w:t>
      </w:r>
      <w:r w:rsidRPr="003427D7">
        <w:rPr>
          <w:i/>
        </w:rPr>
        <w:t xml:space="preserve"> </w:t>
      </w:r>
      <w:r w:rsidR="00B6436D" w:rsidRPr="003427D7">
        <w:rPr>
          <w:i/>
        </w:rPr>
        <w:t>but to resist all attempts at registration and enforcement of the Award in Seychelles”</w:t>
      </w:r>
      <w:r w:rsidR="00B6436D">
        <w:t xml:space="preserve">; </w:t>
      </w:r>
      <w:r w:rsidR="00861A7B">
        <w:t xml:space="preserve">and </w:t>
      </w:r>
      <w:r w:rsidR="00B6436D">
        <w:t xml:space="preserve">(2) </w:t>
      </w:r>
      <w:r w:rsidR="00B6436D" w:rsidRPr="003427D7">
        <w:rPr>
          <w:i/>
        </w:rPr>
        <w:t>“caused VIJAY to engage in multiple and costly litigation in France, England and Seychelles to avoid enforcement of the Award instead of settling the sums involved in the Award”</w:t>
      </w:r>
      <w:r w:rsidR="00861A7B" w:rsidRPr="00740941">
        <w:t>.</w:t>
      </w:r>
    </w:p>
    <w:p w:rsidR="004046A6" w:rsidRPr="004046A6" w:rsidRDefault="00861A7B" w:rsidP="004046A6">
      <w:pPr>
        <w:pStyle w:val="JudgmentText"/>
      </w:pPr>
      <w:r>
        <w:t>On 30</w:t>
      </w:r>
      <w:r w:rsidRPr="00861A7B">
        <w:rPr>
          <w:vertAlign w:val="superscript"/>
        </w:rPr>
        <w:t>th</w:t>
      </w:r>
      <w:r>
        <w:t xml:space="preserve"> June 2020</w:t>
      </w:r>
      <w:r w:rsidRPr="00861A7B">
        <w:t xml:space="preserve"> </w:t>
      </w:r>
      <w:r>
        <w:t xml:space="preserve">Judgment was </w:t>
      </w:r>
      <w:r w:rsidRPr="00AA33DB">
        <w:t xml:space="preserve">delivered </w:t>
      </w:r>
      <w:r>
        <w:t xml:space="preserve">by the Supreme Court </w:t>
      </w:r>
      <w:r w:rsidRPr="00AA33DB">
        <w:t xml:space="preserve">in the case of </w:t>
      </w:r>
      <w:r w:rsidRPr="00861A7B">
        <w:rPr>
          <w:i/>
        </w:rPr>
        <w:t>Eastern European Engineering Ltd v Vijay Construction (Pty) Ltd (CS23/2019) [2020] SCSC 350 (30 June 2020)</w:t>
      </w:r>
      <w:r w:rsidRPr="00AA33DB">
        <w:t xml:space="preserve"> </w:t>
      </w:r>
      <w:r>
        <w:t>o</w:t>
      </w:r>
      <w:r w:rsidRPr="00AA33DB">
        <w:t xml:space="preserve">n 30 June 2020 declaring two Orders of the High Court of England and Wales </w:t>
      </w:r>
      <w:r w:rsidR="00F20F43">
        <w:t xml:space="preserve">rendering the </w:t>
      </w:r>
      <w:r w:rsidR="00F20F43" w:rsidRPr="00AA33DB">
        <w:t>arbitral award</w:t>
      </w:r>
      <w:r w:rsidR="00F20F43">
        <w:t xml:space="preserve"> in favour of </w:t>
      </w:r>
      <w:r w:rsidR="00F20F43" w:rsidRPr="00AA33DB">
        <w:t xml:space="preserve">the </w:t>
      </w:r>
      <w:r w:rsidR="00F20F43">
        <w:t>applicant (“EEEL”) enforceable in Great Britain,</w:t>
      </w:r>
      <w:r w:rsidRPr="00AA33DB">
        <w:t xml:space="preserve"> executory and enforceable in Seychelles</w:t>
      </w:r>
      <w:r>
        <w:t xml:space="preserve"> </w:t>
      </w:r>
      <w:r w:rsidRPr="00AA33DB">
        <w:t xml:space="preserve">(“the </w:t>
      </w:r>
      <w:r>
        <w:t>Supreme Court Judgment</w:t>
      </w:r>
      <w:r w:rsidRPr="00AA33DB">
        <w:t xml:space="preserve">”). </w:t>
      </w:r>
      <w:r w:rsidRPr="00AA33DB">
        <w:lastRenderedPageBreak/>
        <w:t xml:space="preserve">In terms of the </w:t>
      </w:r>
      <w:r>
        <w:t>Supreme Court Judgment</w:t>
      </w:r>
      <w:r w:rsidRPr="00AA33DB">
        <w:t xml:space="preserve"> the </w:t>
      </w:r>
      <w:r>
        <w:t>respondent</w:t>
      </w:r>
      <w:r w:rsidRPr="00AA33DB">
        <w:t xml:space="preserve"> (“</w:t>
      </w:r>
      <w:r>
        <w:t>Vijay</w:t>
      </w:r>
      <w:r w:rsidRPr="00AA33DB">
        <w:t>”) was ordered to pay</w:t>
      </w:r>
      <w:r>
        <w:t xml:space="preserve"> EEEL</w:t>
      </w:r>
      <w:r w:rsidRPr="00AA33DB">
        <w:t xml:space="preserve"> </w:t>
      </w:r>
      <w:r>
        <w:t xml:space="preserve">various sums of money, amounting in excess of Euro twenty million. This </w:t>
      </w:r>
      <w:r w:rsidRPr="00A05038">
        <w:t xml:space="preserve">judgment was upheld by the Court of Appeal in </w:t>
      </w:r>
      <w:r w:rsidRPr="004046A6">
        <w:rPr>
          <w:i/>
        </w:rPr>
        <w:t>Vijay Construction (Pty) Ltd v Eastern European Engineering Ltd (SCA 28/2020) [2020] (2</w:t>
      </w:r>
      <w:r w:rsidRPr="004046A6">
        <w:rPr>
          <w:i/>
          <w:vertAlign w:val="superscript"/>
        </w:rPr>
        <w:t xml:space="preserve">nd </w:t>
      </w:r>
      <w:r w:rsidRPr="004046A6">
        <w:rPr>
          <w:i/>
        </w:rPr>
        <w:t xml:space="preserve">October 2020). </w:t>
      </w:r>
      <w:r w:rsidRPr="00A05038">
        <w:t>The Court of Appeal judgment was subsequently set aside</w:t>
      </w:r>
      <w:r>
        <w:t xml:space="preserve"> (See (MA24/2020 arising in SCA28/2020) [2022] SCCA 8 (21 March 2022))</w:t>
      </w:r>
      <w:r w:rsidRPr="00A05038">
        <w:t xml:space="preserve"> and the appeal re-heard, pursuant to which another panel of three Justices of Appeal</w:t>
      </w:r>
      <w:r>
        <w:t xml:space="preserve"> dismissed </w:t>
      </w:r>
      <w:r w:rsidRPr="00146AB7">
        <w:t xml:space="preserve">the appeal and upheld the Supreme Court </w:t>
      </w:r>
      <w:r>
        <w:t>J</w:t>
      </w:r>
      <w:r w:rsidRPr="00146AB7">
        <w:t xml:space="preserve">udgment in its entirety in </w:t>
      </w:r>
      <w:r w:rsidRPr="004046A6">
        <w:rPr>
          <w:i/>
        </w:rPr>
        <w:t xml:space="preserve">Vijay Construction (Pty) Ltd v Eastern European Engineering Ltd </w:t>
      </w:r>
      <w:r w:rsidRPr="00821562">
        <w:t xml:space="preserve">(SCA </w:t>
      </w:r>
      <w:r w:rsidRPr="004046A6">
        <w:rPr>
          <w:bCs/>
        </w:rPr>
        <w:t>28 of 2020) [2022] SCCA 58 (21 October 2022).</w:t>
      </w:r>
      <w:r w:rsidR="004046A6">
        <w:rPr>
          <w:bCs/>
        </w:rPr>
        <w:t xml:space="preserve"> </w:t>
      </w:r>
    </w:p>
    <w:p w:rsidR="005C7D16" w:rsidRPr="00740941" w:rsidRDefault="004046A6" w:rsidP="00740941">
      <w:pPr>
        <w:pStyle w:val="JudgmentText"/>
      </w:pPr>
      <w:r>
        <w:rPr>
          <w:bCs/>
        </w:rPr>
        <w:t xml:space="preserve">It is to be noted that at the time </w:t>
      </w:r>
      <w:r w:rsidR="00F20F43">
        <w:rPr>
          <w:bCs/>
        </w:rPr>
        <w:t xml:space="preserve">that </w:t>
      </w:r>
      <w:r>
        <w:rPr>
          <w:bCs/>
        </w:rPr>
        <w:t xml:space="preserve">pleadings and submissions in relation to this Notice of Motion </w:t>
      </w:r>
      <w:r w:rsidR="00477B8F">
        <w:rPr>
          <w:bCs/>
        </w:rPr>
        <w:t>were</w:t>
      </w:r>
      <w:r>
        <w:rPr>
          <w:bCs/>
        </w:rPr>
        <w:t xml:space="preserve"> filed, the Court of Appeal had rendered its first decision of 2</w:t>
      </w:r>
      <w:r w:rsidRPr="004046A6">
        <w:rPr>
          <w:bCs/>
          <w:vertAlign w:val="superscript"/>
        </w:rPr>
        <w:t>nd</w:t>
      </w:r>
      <w:r w:rsidR="00477B8F">
        <w:rPr>
          <w:bCs/>
        </w:rPr>
        <w:t xml:space="preserve"> October 2020. However, </w:t>
      </w:r>
      <w:r>
        <w:rPr>
          <w:bCs/>
        </w:rPr>
        <w:t>a challenge by Vijay as to the procedure followed on appeal</w:t>
      </w:r>
      <w:r w:rsidR="000E5EDF">
        <w:rPr>
          <w:bCs/>
        </w:rPr>
        <w:t>,</w:t>
      </w:r>
      <w:r>
        <w:rPr>
          <w:bCs/>
        </w:rPr>
        <w:t xml:space="preserve"> which ultimately led to the decision of 2</w:t>
      </w:r>
      <w:r w:rsidRPr="004046A6">
        <w:rPr>
          <w:bCs/>
          <w:vertAlign w:val="superscript"/>
        </w:rPr>
        <w:t>nd</w:t>
      </w:r>
      <w:r>
        <w:rPr>
          <w:bCs/>
        </w:rPr>
        <w:t xml:space="preserve"> October 2020 being set aside</w:t>
      </w:r>
      <w:r w:rsidR="000E5EDF">
        <w:rPr>
          <w:bCs/>
        </w:rPr>
        <w:t>, was still pending before the Court of Appeal</w:t>
      </w:r>
      <w:r w:rsidR="00477B8F">
        <w:rPr>
          <w:bCs/>
        </w:rPr>
        <w:t>.</w:t>
      </w:r>
      <w:r w:rsidR="009D0216">
        <w:rPr>
          <w:bCs/>
        </w:rPr>
        <w:t xml:space="preserve"> Hence when reference is made to the judgments in </w:t>
      </w:r>
      <w:r w:rsidR="00C207E3">
        <w:t>VZ</w:t>
      </w:r>
      <w:r w:rsidR="009D0216">
        <w:t>’s affidavit, he is referring to the Supreme Court Judgment of 30</w:t>
      </w:r>
      <w:r w:rsidR="009D0216" w:rsidRPr="009D0216">
        <w:rPr>
          <w:vertAlign w:val="superscript"/>
        </w:rPr>
        <w:t>th</w:t>
      </w:r>
      <w:r w:rsidR="009D0216">
        <w:t xml:space="preserve"> June 2020 and the Court of Appeal judgment </w:t>
      </w:r>
      <w:r w:rsidR="00477B8F">
        <w:t>of 2</w:t>
      </w:r>
      <w:r w:rsidR="00477B8F" w:rsidRPr="00477B8F">
        <w:rPr>
          <w:vertAlign w:val="superscript"/>
        </w:rPr>
        <w:t>nd</w:t>
      </w:r>
      <w:r w:rsidR="00477B8F">
        <w:t xml:space="preserve"> </w:t>
      </w:r>
      <w:r w:rsidR="00F405F9">
        <w:rPr>
          <w:bCs/>
        </w:rPr>
        <w:t>October 2020.</w:t>
      </w:r>
    </w:p>
    <w:p w:rsidR="009E0CE7" w:rsidRDefault="00740941" w:rsidP="00BE688D">
      <w:pPr>
        <w:pStyle w:val="JudgmentText"/>
      </w:pPr>
      <w:r w:rsidRPr="00BE688D">
        <w:rPr>
          <w:bCs/>
        </w:rPr>
        <w:t>The contempt of Court alleged by EEEL on the part of VIJAY</w:t>
      </w:r>
      <w:r w:rsidR="008568B7" w:rsidRPr="00BE688D">
        <w:rPr>
          <w:bCs/>
        </w:rPr>
        <w:t>’s</w:t>
      </w:r>
      <w:r w:rsidRPr="00BE688D">
        <w:rPr>
          <w:bCs/>
        </w:rPr>
        <w:t xml:space="preserve"> </w:t>
      </w:r>
      <w:r w:rsidR="008568B7" w:rsidRPr="00BE688D">
        <w:rPr>
          <w:bCs/>
        </w:rPr>
        <w:t xml:space="preserve">directors </w:t>
      </w:r>
      <w:r w:rsidRPr="00BE688D">
        <w:rPr>
          <w:bCs/>
        </w:rPr>
        <w:t xml:space="preserve">as stated in </w:t>
      </w:r>
      <w:r w:rsidR="00C207E3">
        <w:t>VZ</w:t>
      </w:r>
      <w:r w:rsidR="008568B7">
        <w:t>’s</w:t>
      </w:r>
      <w:r>
        <w:t xml:space="preserve"> affidavit </w:t>
      </w:r>
      <w:r w:rsidRPr="00BE688D">
        <w:rPr>
          <w:bCs/>
        </w:rPr>
        <w:t xml:space="preserve">are </w:t>
      </w:r>
      <w:r w:rsidR="008568B7" w:rsidRPr="00BE688D">
        <w:rPr>
          <w:bCs/>
        </w:rPr>
        <w:t xml:space="preserve">that </w:t>
      </w:r>
      <w:r w:rsidR="00BE688D" w:rsidRPr="00BE688D">
        <w:rPr>
          <w:bCs/>
        </w:rPr>
        <w:t xml:space="preserve">the </w:t>
      </w:r>
      <w:r w:rsidR="00BE688D">
        <w:t>2</w:t>
      </w:r>
      <w:r w:rsidR="00BE688D" w:rsidRPr="00BE688D">
        <w:rPr>
          <w:vertAlign w:val="superscript"/>
        </w:rPr>
        <w:t>nd</w:t>
      </w:r>
      <w:r w:rsidR="00BE688D">
        <w:t xml:space="preserve"> to 5</w:t>
      </w:r>
      <w:r w:rsidR="00BE688D" w:rsidRPr="00BE688D">
        <w:rPr>
          <w:vertAlign w:val="superscript"/>
        </w:rPr>
        <w:t>th</w:t>
      </w:r>
      <w:r w:rsidR="00BE688D">
        <w:t xml:space="preserve"> respondents in their capacity as VIJAY’s directors, not only </w:t>
      </w:r>
      <w:r w:rsidR="00BE688D" w:rsidRPr="00BE688D">
        <w:rPr>
          <w:i/>
        </w:rPr>
        <w:t>“[u]</w:t>
      </w:r>
      <w:proofErr w:type="spellStart"/>
      <w:r w:rsidR="00BE688D" w:rsidRPr="00BE688D">
        <w:rPr>
          <w:i/>
        </w:rPr>
        <w:t>pon</w:t>
      </w:r>
      <w:proofErr w:type="spellEnd"/>
      <w:r w:rsidR="00BE688D" w:rsidRPr="00BE688D">
        <w:rPr>
          <w:i/>
        </w:rPr>
        <w:t xml:space="preserve"> the delivery of judgments … failed and, caused VIJAY to refuse to comply with the Judgments”</w:t>
      </w:r>
      <w:r w:rsidR="00BE688D">
        <w:t xml:space="preserve"> but also caused </w:t>
      </w:r>
      <w:r w:rsidR="00BE688D" w:rsidRPr="00BE688D">
        <w:rPr>
          <w:i/>
        </w:rPr>
        <w:t>“</w:t>
      </w:r>
      <w:r w:rsidR="009D0216" w:rsidRPr="00BE688D">
        <w:rPr>
          <w:i/>
        </w:rPr>
        <w:t>caused VIJAY to file multiple applications to avoid execution of the Judgment</w:t>
      </w:r>
      <w:r w:rsidR="00BE688D" w:rsidRPr="00BE688D">
        <w:rPr>
          <w:i/>
        </w:rPr>
        <w:t>”</w:t>
      </w:r>
      <w:r w:rsidR="009D0216">
        <w:t xml:space="preserve">. </w:t>
      </w:r>
      <w:r w:rsidR="009E0CE7">
        <w:t>These applications as set out at paragraphs 14 to 1</w:t>
      </w:r>
      <w:r w:rsidR="00C1730E">
        <w:t xml:space="preserve">6 </w:t>
      </w:r>
      <w:r w:rsidR="009E0CE7">
        <w:t>of  the affidavit are as follows:</w:t>
      </w:r>
    </w:p>
    <w:p w:rsidR="009E0CE7" w:rsidRPr="00C1730E" w:rsidRDefault="009E0CE7" w:rsidP="00AB6228">
      <w:pPr>
        <w:pStyle w:val="NumberedQuotationindent1"/>
        <w:numPr>
          <w:ilvl w:val="0"/>
          <w:numId w:val="5"/>
        </w:numPr>
        <w:spacing w:after="240" w:line="360" w:lineRule="auto"/>
        <w:rPr>
          <w:i w:val="0"/>
        </w:rPr>
      </w:pPr>
      <w:r>
        <w:t xml:space="preserve">application filed in the Constitutional Court in CP10/2020 VIJAY v EEEL alleging </w:t>
      </w:r>
      <w:r w:rsidRPr="00C1730E">
        <w:rPr>
          <w:i w:val="0"/>
        </w:rPr>
        <w:t>violation of VIJAY’s right to fair hearing in the Supreme Court, which was dismissed as, inter alia, an abuse of the Courts process. Exhibited are copies of the Constitutional Court Petition and the Judgment of the Constitutional Court</w:t>
      </w:r>
      <w:r w:rsidR="00087DBF" w:rsidRPr="00C1730E">
        <w:rPr>
          <w:i w:val="0"/>
        </w:rPr>
        <w:t xml:space="preserve"> dated 24</w:t>
      </w:r>
      <w:r w:rsidR="00087DBF" w:rsidRPr="00C1730E">
        <w:rPr>
          <w:i w:val="0"/>
          <w:vertAlign w:val="superscript"/>
        </w:rPr>
        <w:t>th</w:t>
      </w:r>
      <w:r w:rsidR="00087DBF" w:rsidRPr="00C1730E">
        <w:rPr>
          <w:i w:val="0"/>
        </w:rPr>
        <w:t xml:space="preserve"> November 2020</w:t>
      </w:r>
      <w:r w:rsidRPr="00C1730E">
        <w:rPr>
          <w:i w:val="0"/>
        </w:rPr>
        <w:t>.</w:t>
      </w:r>
    </w:p>
    <w:p w:rsidR="009E0CE7" w:rsidRPr="00C1730E" w:rsidRDefault="009E0CE7" w:rsidP="00D004E3">
      <w:pPr>
        <w:pStyle w:val="NumberedQuotationindent1"/>
        <w:numPr>
          <w:ilvl w:val="0"/>
          <w:numId w:val="0"/>
        </w:numPr>
        <w:spacing w:after="240" w:line="360" w:lineRule="auto"/>
        <w:ind w:left="1080"/>
        <w:rPr>
          <w:i w:val="0"/>
        </w:rPr>
      </w:pPr>
    </w:p>
    <w:p w:rsidR="009D0216" w:rsidRPr="00C1730E" w:rsidRDefault="009D0216" w:rsidP="00AB6228">
      <w:pPr>
        <w:pStyle w:val="NumberedQuotationindent1"/>
        <w:numPr>
          <w:ilvl w:val="0"/>
          <w:numId w:val="5"/>
        </w:numPr>
        <w:spacing w:after="240" w:line="360" w:lineRule="auto"/>
        <w:rPr>
          <w:i w:val="0"/>
        </w:rPr>
      </w:pPr>
      <w:r w:rsidRPr="00C1730E">
        <w:rPr>
          <w:i w:val="0"/>
        </w:rPr>
        <w:t xml:space="preserve">application filed in the Seychelles Court of Appeal in SCAMA21/2020 to set aside the </w:t>
      </w:r>
      <w:r w:rsidR="00A64D33" w:rsidRPr="00C1730E">
        <w:rPr>
          <w:i w:val="0"/>
        </w:rPr>
        <w:t xml:space="preserve">Court of Appeal </w:t>
      </w:r>
      <w:r w:rsidRPr="00C1730E">
        <w:rPr>
          <w:i w:val="0"/>
        </w:rPr>
        <w:t>Judgment</w:t>
      </w:r>
      <w:r w:rsidR="00A64D33" w:rsidRPr="00C1730E">
        <w:rPr>
          <w:bCs/>
          <w:i w:val="0"/>
        </w:rPr>
        <w:t>2</w:t>
      </w:r>
      <w:r w:rsidR="00A64D33" w:rsidRPr="00C1730E">
        <w:rPr>
          <w:bCs/>
          <w:i w:val="0"/>
          <w:vertAlign w:val="superscript"/>
        </w:rPr>
        <w:t>nd</w:t>
      </w:r>
      <w:r w:rsidR="00A64D33" w:rsidRPr="00C1730E">
        <w:rPr>
          <w:bCs/>
          <w:i w:val="0"/>
        </w:rPr>
        <w:t xml:space="preserve"> October 2020</w:t>
      </w:r>
      <w:r w:rsidRPr="00C1730E">
        <w:rPr>
          <w:i w:val="0"/>
        </w:rPr>
        <w:t xml:space="preserve"> on the ground that the appeal had not been </w:t>
      </w:r>
      <w:r w:rsidRPr="00C1730E">
        <w:rPr>
          <w:i w:val="0"/>
        </w:rPr>
        <w:lastRenderedPageBreak/>
        <w:t>heard by 3</w:t>
      </w:r>
      <w:r w:rsidR="00A64D33" w:rsidRPr="00C1730E">
        <w:rPr>
          <w:i w:val="0"/>
        </w:rPr>
        <w:t xml:space="preserve"> J</w:t>
      </w:r>
      <w:r w:rsidRPr="00C1730E">
        <w:rPr>
          <w:i w:val="0"/>
        </w:rPr>
        <w:t>ustices of Appeal</w:t>
      </w:r>
      <w:r w:rsidR="009E0CE7" w:rsidRPr="00C1730E">
        <w:rPr>
          <w:i w:val="0"/>
        </w:rPr>
        <w:t>,</w:t>
      </w:r>
      <w:r w:rsidR="00A64D33" w:rsidRPr="00C1730E">
        <w:rPr>
          <w:i w:val="0"/>
        </w:rPr>
        <w:t xml:space="preserve"> in that one of the judges hearing the appeal was not a Justice of </w:t>
      </w:r>
      <w:proofErr w:type="gramStart"/>
      <w:r w:rsidR="00A64D33" w:rsidRPr="00C1730E">
        <w:rPr>
          <w:i w:val="0"/>
        </w:rPr>
        <w:t xml:space="preserve">Appeal </w:t>
      </w:r>
      <w:r w:rsidR="009E0CE7" w:rsidRPr="00C1730E">
        <w:rPr>
          <w:i w:val="0"/>
        </w:rPr>
        <w:t xml:space="preserve"> which</w:t>
      </w:r>
      <w:proofErr w:type="gramEnd"/>
      <w:r w:rsidR="009E0CE7" w:rsidRPr="00C1730E">
        <w:rPr>
          <w:i w:val="0"/>
        </w:rPr>
        <w:t xml:space="preserve"> was </w:t>
      </w:r>
      <w:r w:rsidRPr="00C1730E">
        <w:rPr>
          <w:i w:val="0"/>
        </w:rPr>
        <w:t>dismissed.</w:t>
      </w:r>
      <w:r w:rsidR="00087DBF" w:rsidRPr="00C1730E">
        <w:rPr>
          <w:i w:val="0"/>
        </w:rPr>
        <w:t xml:space="preserve"> Exhibited are c</w:t>
      </w:r>
      <w:r w:rsidRPr="00C1730E">
        <w:rPr>
          <w:i w:val="0"/>
        </w:rPr>
        <w:t xml:space="preserve">opies of the Application and Ruling of the Court of Appeal </w:t>
      </w:r>
      <w:r w:rsidR="00087DBF" w:rsidRPr="00C1730E">
        <w:rPr>
          <w:i w:val="0"/>
        </w:rPr>
        <w:t>dated 13</w:t>
      </w:r>
      <w:r w:rsidR="00087DBF" w:rsidRPr="00C1730E">
        <w:rPr>
          <w:i w:val="0"/>
          <w:vertAlign w:val="superscript"/>
        </w:rPr>
        <w:t>th</w:t>
      </w:r>
      <w:r w:rsidR="00087DBF" w:rsidRPr="00C1730E">
        <w:rPr>
          <w:i w:val="0"/>
        </w:rPr>
        <w:t xml:space="preserve"> November 2020.</w:t>
      </w:r>
      <w:r w:rsidRPr="00C1730E">
        <w:rPr>
          <w:i w:val="0"/>
        </w:rPr>
        <w:t xml:space="preserve"> </w:t>
      </w:r>
    </w:p>
    <w:p w:rsidR="00087DBF" w:rsidRPr="00C1730E" w:rsidRDefault="00087DBF" w:rsidP="00D004E3">
      <w:pPr>
        <w:pStyle w:val="NumberedQuotationindent1"/>
        <w:numPr>
          <w:ilvl w:val="0"/>
          <w:numId w:val="0"/>
        </w:numPr>
        <w:spacing w:after="240" w:line="360" w:lineRule="auto"/>
        <w:rPr>
          <w:i w:val="0"/>
        </w:rPr>
      </w:pPr>
    </w:p>
    <w:p w:rsidR="00C1730E" w:rsidRPr="00C1730E" w:rsidRDefault="00C1730E" w:rsidP="00D004E3">
      <w:pPr>
        <w:pStyle w:val="NumberedQuotationindent1"/>
        <w:spacing w:after="240" w:line="360" w:lineRule="auto"/>
        <w:rPr>
          <w:i w:val="0"/>
        </w:rPr>
      </w:pPr>
      <w:r>
        <w:rPr>
          <w:i w:val="0"/>
        </w:rPr>
        <w:t>two</w:t>
      </w:r>
      <w:r w:rsidR="00087DBF" w:rsidRPr="00C1730E">
        <w:rPr>
          <w:i w:val="0"/>
        </w:rPr>
        <w:t xml:space="preserve"> applications filed in the Seychelles Court of Appeal in SCAMA23/2020 and SCAMA24/2020 alleging denial of right to fair hearing in the appeal. It is to be noted that at the time of filing of the present application</w:t>
      </w:r>
      <w:r w:rsidR="00C05E4F" w:rsidRPr="00C1730E">
        <w:rPr>
          <w:i w:val="0"/>
        </w:rPr>
        <w:t>,</w:t>
      </w:r>
      <w:r w:rsidR="00087DBF" w:rsidRPr="00C1730E">
        <w:rPr>
          <w:i w:val="0"/>
        </w:rPr>
        <w:t xml:space="preserve"> SCAMA23/2020 and SCAMA24/2020   were pending before the Court of Appeal.</w:t>
      </w:r>
      <w:r w:rsidR="00C05E4F" w:rsidRPr="00C1730E">
        <w:rPr>
          <w:i w:val="0"/>
        </w:rPr>
        <w:t xml:space="preserve"> The judgment of the Court of Appeal dated </w:t>
      </w:r>
      <w:r w:rsidR="00C05E4F" w:rsidRPr="00C1730E">
        <w:rPr>
          <w:bCs/>
          <w:i w:val="0"/>
        </w:rPr>
        <w:t>2</w:t>
      </w:r>
      <w:r w:rsidR="00C05E4F" w:rsidRPr="00C1730E">
        <w:rPr>
          <w:bCs/>
          <w:i w:val="0"/>
          <w:vertAlign w:val="superscript"/>
        </w:rPr>
        <w:t>nd</w:t>
      </w:r>
      <w:r w:rsidR="00C05E4F" w:rsidRPr="00C1730E">
        <w:rPr>
          <w:bCs/>
          <w:i w:val="0"/>
        </w:rPr>
        <w:t xml:space="preserve"> October 2020 was set aside by judgment of the Court of Appeal dated 21</w:t>
      </w:r>
      <w:r w:rsidR="00C05E4F" w:rsidRPr="00C1730E">
        <w:rPr>
          <w:bCs/>
          <w:i w:val="0"/>
          <w:vertAlign w:val="superscript"/>
        </w:rPr>
        <w:t>st</w:t>
      </w:r>
      <w:r w:rsidR="00C05E4F" w:rsidRPr="00C1730E">
        <w:rPr>
          <w:bCs/>
          <w:i w:val="0"/>
        </w:rPr>
        <w:t xml:space="preserve"> March 2022 in SCA MA24/2020.</w:t>
      </w:r>
    </w:p>
    <w:p w:rsidR="00C1730E" w:rsidRPr="00C1730E" w:rsidRDefault="00D56304" w:rsidP="00C1730E">
      <w:pPr>
        <w:pStyle w:val="NumberedQuotationindent1"/>
        <w:numPr>
          <w:ilvl w:val="0"/>
          <w:numId w:val="0"/>
        </w:numPr>
        <w:rPr>
          <w:i w:val="0"/>
        </w:rPr>
      </w:pPr>
      <w:r>
        <w:rPr>
          <w:i w:val="0"/>
        </w:rPr>
        <w:t xml:space="preserve"> </w:t>
      </w:r>
    </w:p>
    <w:p w:rsidR="00C1730E" w:rsidRDefault="00C207E3" w:rsidP="00C1730E">
      <w:pPr>
        <w:pStyle w:val="JudgmentText"/>
      </w:pPr>
      <w:r>
        <w:t>VZ</w:t>
      </w:r>
      <w:r w:rsidR="00C1730E">
        <w:t xml:space="preserve"> further avers that </w:t>
      </w:r>
      <w:r w:rsidR="00D004E3">
        <w:t>on 9</w:t>
      </w:r>
      <w:r w:rsidR="00D004E3" w:rsidRPr="00C1730E">
        <w:rPr>
          <w:vertAlign w:val="superscript"/>
        </w:rPr>
        <w:t>th</w:t>
      </w:r>
      <w:r w:rsidR="00D004E3">
        <w:t xml:space="preserve"> October 2020, </w:t>
      </w:r>
      <w:r w:rsidR="00C1730E">
        <w:t>the 2</w:t>
      </w:r>
      <w:r w:rsidR="00C1730E" w:rsidRPr="00C1730E">
        <w:rPr>
          <w:vertAlign w:val="superscript"/>
        </w:rPr>
        <w:t>nd</w:t>
      </w:r>
      <w:r w:rsidR="00C1730E">
        <w:t xml:space="preserve"> Respondent </w:t>
      </w:r>
      <w:proofErr w:type="spellStart"/>
      <w:r w:rsidR="00D004E3">
        <w:t>Vishram</w:t>
      </w:r>
      <w:proofErr w:type="spellEnd"/>
      <w:r w:rsidR="00D004E3">
        <w:t xml:space="preserve"> </w:t>
      </w:r>
      <w:proofErr w:type="spellStart"/>
      <w:r w:rsidR="00D004E3">
        <w:t>Jadva</w:t>
      </w:r>
      <w:proofErr w:type="spellEnd"/>
      <w:r w:rsidR="00D004E3">
        <w:t xml:space="preserve"> Patel </w:t>
      </w:r>
      <w:r w:rsidR="00C1730E">
        <w:t xml:space="preserve">being </w:t>
      </w:r>
      <w:r w:rsidR="00D004E3">
        <w:t>a</w:t>
      </w:r>
      <w:r w:rsidR="00C1730E">
        <w:t xml:space="preserve"> </w:t>
      </w:r>
      <w:r w:rsidR="00D004E3">
        <w:t>d</w:t>
      </w:r>
      <w:r w:rsidR="00C1730E">
        <w:t xml:space="preserve">irector and shareholder of VIJAY filed </w:t>
      </w:r>
      <w:r w:rsidR="00D004E3">
        <w:t>an</w:t>
      </w:r>
      <w:r w:rsidR="00C1730E">
        <w:t xml:space="preserve"> </w:t>
      </w:r>
      <w:r w:rsidR="00D004E3">
        <w:t>a</w:t>
      </w:r>
      <w:r w:rsidR="00C1730E">
        <w:t>ffidavit dated 8</w:t>
      </w:r>
      <w:r w:rsidR="00C1730E" w:rsidRPr="00C1730E">
        <w:rPr>
          <w:vertAlign w:val="superscript"/>
        </w:rPr>
        <w:t>th</w:t>
      </w:r>
      <w:r w:rsidR="00C1730E">
        <w:t xml:space="preserve"> October 2020</w:t>
      </w:r>
      <w:r w:rsidR="00D004E3">
        <w:t>,</w:t>
      </w:r>
      <w:r w:rsidR="00C1730E">
        <w:t xml:space="preserve"> in the registry of the Supreme Court verifying </w:t>
      </w:r>
      <w:r w:rsidR="00D004E3">
        <w:t>a</w:t>
      </w:r>
      <w:r w:rsidR="00C1730E">
        <w:t xml:space="preserve"> petition for winding up VIJAY</w:t>
      </w:r>
      <w:r w:rsidR="007325CE" w:rsidRPr="007325CE">
        <w:t xml:space="preserve"> </w:t>
      </w:r>
      <w:r w:rsidR="007325CE">
        <w:t>(“Winding-Up Petition”)</w:t>
      </w:r>
      <w:r w:rsidR="00C1730E">
        <w:t xml:space="preserve">, stating that VIJAY is unable to pay its debts. A copy of the Affidavit is </w:t>
      </w:r>
      <w:r w:rsidR="00D004E3">
        <w:t>exhibited</w:t>
      </w:r>
      <w:r w:rsidR="00C1730E">
        <w:t xml:space="preserve">. </w:t>
      </w:r>
    </w:p>
    <w:p w:rsidR="003140B8" w:rsidRDefault="00D004E3" w:rsidP="003140B8">
      <w:pPr>
        <w:pStyle w:val="JudgmentText"/>
      </w:pPr>
      <w:r>
        <w:t>He avers that</w:t>
      </w:r>
      <w:r w:rsidR="00D56304">
        <w:t xml:space="preserve"> he is </w:t>
      </w:r>
      <w:r w:rsidR="009D0216">
        <w:t>aware that a new company named Vijay Construction (Seychelles) Pty Ltd.</w:t>
      </w:r>
      <w:r w:rsidR="00D56304">
        <w:t xml:space="preserve"> </w:t>
      </w:r>
      <w:r w:rsidR="009D0216">
        <w:t>(</w:t>
      </w:r>
      <w:r w:rsidR="00D56304">
        <w:t>“</w:t>
      </w:r>
      <w:r w:rsidR="009D0216">
        <w:t>VIJAY2</w:t>
      </w:r>
      <w:r w:rsidR="00D56304">
        <w:t>”</w:t>
      </w:r>
      <w:r w:rsidR="009D0216">
        <w:t>) was incorporated on</w:t>
      </w:r>
      <w:r w:rsidR="00D56304">
        <w:t xml:space="preserve"> 1</w:t>
      </w:r>
      <w:r w:rsidR="00D56304" w:rsidRPr="00D56304">
        <w:rPr>
          <w:vertAlign w:val="superscript"/>
        </w:rPr>
        <w:t>st</w:t>
      </w:r>
      <w:r w:rsidR="00D56304">
        <w:t xml:space="preserve"> September 2017</w:t>
      </w:r>
      <w:r w:rsidR="009D0216">
        <w:t xml:space="preserve">, three months before the Court of Appeal delivered </w:t>
      </w:r>
      <w:r w:rsidR="00DA6C07">
        <w:t>its</w:t>
      </w:r>
      <w:r w:rsidR="009D0216">
        <w:t xml:space="preserve"> Judgment dated 1</w:t>
      </w:r>
      <w:r w:rsidR="009A571D">
        <w:t>2</w:t>
      </w:r>
      <w:r w:rsidR="009A571D">
        <w:rPr>
          <w:vertAlign w:val="superscript"/>
        </w:rPr>
        <w:t>th</w:t>
      </w:r>
      <w:r w:rsidR="00D56304">
        <w:t xml:space="preserve"> December </w:t>
      </w:r>
      <w:r w:rsidR="009D0216">
        <w:t>2017 in favo</w:t>
      </w:r>
      <w:r w:rsidR="00DA6C07">
        <w:t>u</w:t>
      </w:r>
      <w:r w:rsidR="009D0216">
        <w:t xml:space="preserve">r of VIJAY in SCA18/2017 </w:t>
      </w:r>
      <w:r w:rsidR="009D0216" w:rsidRPr="00DA6C07">
        <w:rPr>
          <w:i/>
        </w:rPr>
        <w:t>Vijay Construction (Pty) Ltd V Eastern European Engineering Limited</w:t>
      </w:r>
      <w:r w:rsidR="009D0216">
        <w:t xml:space="preserve"> </w:t>
      </w:r>
      <w:r w:rsidR="00DA6C07">
        <w:t>(SCA 15 of 2017) [</w:t>
      </w:r>
      <w:r w:rsidR="009D0216">
        <w:t>2017</w:t>
      </w:r>
      <w:r w:rsidR="00DA6C07">
        <w:t>] SCCA 41</w:t>
      </w:r>
      <w:r w:rsidR="009A571D">
        <w:t xml:space="preserve"> (12</w:t>
      </w:r>
      <w:r w:rsidR="009A571D">
        <w:rPr>
          <w:vertAlign w:val="superscript"/>
        </w:rPr>
        <w:t xml:space="preserve"> </w:t>
      </w:r>
      <w:r w:rsidR="009A571D">
        <w:t>December 2017) in which it held that the arbitral award was not enforceable in Seychelles. The a</w:t>
      </w:r>
      <w:r w:rsidR="009D0216">
        <w:t>ppeal</w:t>
      </w:r>
      <w:r w:rsidR="009A571D">
        <w:t xml:space="preserve"> was against a j</w:t>
      </w:r>
      <w:r w:rsidR="009D0216">
        <w:t xml:space="preserve">udgment </w:t>
      </w:r>
      <w:r w:rsidR="009A571D">
        <w:t>of the Supreme Court</w:t>
      </w:r>
      <w:r w:rsidR="003140B8">
        <w:t xml:space="preserve"> in CC33/2015</w:t>
      </w:r>
      <w:r w:rsidR="009A571D">
        <w:t xml:space="preserve"> </w:t>
      </w:r>
      <w:r w:rsidR="009D0216">
        <w:t>dated 21</w:t>
      </w:r>
      <w:r w:rsidR="009A571D" w:rsidRPr="009A571D">
        <w:rPr>
          <w:vertAlign w:val="superscript"/>
        </w:rPr>
        <w:t>st</w:t>
      </w:r>
      <w:r w:rsidR="009A571D">
        <w:t xml:space="preserve"> April </w:t>
      </w:r>
      <w:r w:rsidR="009D0216">
        <w:t xml:space="preserve">2017 </w:t>
      </w:r>
      <w:r w:rsidR="009A571D">
        <w:t xml:space="preserve">allowing </w:t>
      </w:r>
      <w:r w:rsidR="009D0216">
        <w:t xml:space="preserve">registration of the </w:t>
      </w:r>
      <w:r w:rsidR="009A571D">
        <w:t>arbitral a</w:t>
      </w:r>
      <w:r w:rsidR="009D0216">
        <w:t>ward in Seychelles</w:t>
      </w:r>
      <w:r w:rsidR="009A571D">
        <w:t xml:space="preserve">. On that basis, he states that </w:t>
      </w:r>
      <w:r w:rsidR="009D0216">
        <w:t>the unavoidable conclusion is that the 2</w:t>
      </w:r>
      <w:r w:rsidR="009D0216" w:rsidRPr="009A571D">
        <w:rPr>
          <w:vertAlign w:val="superscript"/>
        </w:rPr>
        <w:t>nd</w:t>
      </w:r>
      <w:r w:rsidR="009A571D" w:rsidRPr="009A571D">
        <w:rPr>
          <w:vertAlign w:val="superscript"/>
        </w:rPr>
        <w:t xml:space="preserve"> -</w:t>
      </w:r>
      <w:r w:rsidR="009D0216">
        <w:t xml:space="preserve"> 5</w:t>
      </w:r>
      <w:r w:rsidR="009D0216" w:rsidRPr="009A571D">
        <w:rPr>
          <w:vertAlign w:val="superscript"/>
        </w:rPr>
        <w:t>th</w:t>
      </w:r>
      <w:r w:rsidR="009D0216">
        <w:t xml:space="preserve"> </w:t>
      </w:r>
      <w:r w:rsidR="009A571D">
        <w:t xml:space="preserve">respondents </w:t>
      </w:r>
      <w:r w:rsidR="009D0216">
        <w:t xml:space="preserve">being </w:t>
      </w:r>
      <w:r w:rsidR="009A571D">
        <w:t>d</w:t>
      </w:r>
      <w:r w:rsidR="009D0216">
        <w:t>irectors and shareholders of VIJAY</w:t>
      </w:r>
      <w:r w:rsidR="009A571D">
        <w:t>,</w:t>
      </w:r>
      <w:r w:rsidR="009D0216">
        <w:t xml:space="preserve"> even then</w:t>
      </w:r>
      <w:r w:rsidR="009A571D">
        <w:t>, had the intention</w:t>
      </w:r>
      <w:r w:rsidR="009D0216">
        <w:t xml:space="preserve"> to defraud</w:t>
      </w:r>
      <w:r w:rsidR="009A571D">
        <w:t xml:space="preserve"> EEEL</w:t>
      </w:r>
      <w:r w:rsidR="009D0216">
        <w:t xml:space="preserve"> and deny it the fruits of the </w:t>
      </w:r>
      <w:r w:rsidR="003140B8">
        <w:t xml:space="preserve">Supreme Court </w:t>
      </w:r>
      <w:r w:rsidR="009A571D">
        <w:t>j</w:t>
      </w:r>
      <w:r w:rsidR="009D0216">
        <w:t>udgment</w:t>
      </w:r>
      <w:r w:rsidR="003140B8">
        <w:t xml:space="preserve"> of 21</w:t>
      </w:r>
      <w:r w:rsidR="003140B8" w:rsidRPr="009A571D">
        <w:rPr>
          <w:vertAlign w:val="superscript"/>
        </w:rPr>
        <w:t>st</w:t>
      </w:r>
      <w:r w:rsidR="003140B8">
        <w:t xml:space="preserve"> April 2017</w:t>
      </w:r>
      <w:r w:rsidR="009D0216">
        <w:t xml:space="preserve"> if the </w:t>
      </w:r>
      <w:r w:rsidR="003140B8">
        <w:t>Court of Appeal j</w:t>
      </w:r>
      <w:r w:rsidR="009D0216">
        <w:t xml:space="preserve">udgment dated </w:t>
      </w:r>
      <w:r w:rsidR="003140B8">
        <w:t>12</w:t>
      </w:r>
      <w:r w:rsidR="003140B8">
        <w:rPr>
          <w:vertAlign w:val="superscript"/>
        </w:rPr>
        <w:t xml:space="preserve"> </w:t>
      </w:r>
      <w:r w:rsidR="003140B8">
        <w:t>December 2017 had been</w:t>
      </w:r>
      <w:r w:rsidR="009D0216">
        <w:t xml:space="preserve"> in </w:t>
      </w:r>
      <w:proofErr w:type="spellStart"/>
      <w:r w:rsidR="009D0216">
        <w:t>favor</w:t>
      </w:r>
      <w:proofErr w:type="spellEnd"/>
      <w:r w:rsidR="009D0216">
        <w:t xml:space="preserve"> of </w:t>
      </w:r>
      <w:r w:rsidR="003140B8">
        <w:t>EEEL</w:t>
      </w:r>
      <w:r w:rsidR="009D0216">
        <w:t xml:space="preserve">. </w:t>
      </w:r>
      <w:r w:rsidR="003140B8">
        <w:t xml:space="preserve">He further states that </w:t>
      </w:r>
      <w:r w:rsidR="009D0216">
        <w:t xml:space="preserve">the </w:t>
      </w:r>
      <w:r w:rsidR="003140B8">
        <w:t>2</w:t>
      </w:r>
      <w:r w:rsidR="003140B8" w:rsidRPr="009A571D">
        <w:rPr>
          <w:vertAlign w:val="superscript"/>
        </w:rPr>
        <w:t>nd -</w:t>
      </w:r>
      <w:r w:rsidR="003140B8">
        <w:t xml:space="preserve"> 5</w:t>
      </w:r>
      <w:r w:rsidR="003140B8" w:rsidRPr="009A571D">
        <w:rPr>
          <w:vertAlign w:val="superscript"/>
        </w:rPr>
        <w:t>th</w:t>
      </w:r>
      <w:r w:rsidR="003140B8">
        <w:t xml:space="preserve"> respondents </w:t>
      </w:r>
      <w:r w:rsidR="009D0216">
        <w:t xml:space="preserve">are now putting their plan to defraud </w:t>
      </w:r>
      <w:r w:rsidR="003140B8">
        <w:t xml:space="preserve">EEEL </w:t>
      </w:r>
      <w:r w:rsidR="009D0216">
        <w:t xml:space="preserve">into effect after the Court of Appeal Judgment of </w:t>
      </w:r>
      <w:r w:rsidR="003140B8">
        <w:rPr>
          <w:bCs/>
        </w:rPr>
        <w:t>2</w:t>
      </w:r>
      <w:r w:rsidR="003140B8" w:rsidRPr="004046A6">
        <w:rPr>
          <w:bCs/>
          <w:vertAlign w:val="superscript"/>
        </w:rPr>
        <w:t>nd</w:t>
      </w:r>
      <w:r w:rsidR="003140B8">
        <w:rPr>
          <w:bCs/>
        </w:rPr>
        <w:t xml:space="preserve"> October 2020 </w:t>
      </w:r>
      <w:r w:rsidR="009D0216">
        <w:t>in favo</w:t>
      </w:r>
      <w:r w:rsidR="003140B8">
        <w:t>u</w:t>
      </w:r>
      <w:r w:rsidR="009D0216">
        <w:t xml:space="preserve">r of the </w:t>
      </w:r>
      <w:r w:rsidR="003140B8">
        <w:t>EEEL</w:t>
      </w:r>
      <w:r w:rsidR="009D0216">
        <w:t xml:space="preserve">. </w:t>
      </w:r>
    </w:p>
    <w:p w:rsidR="007325CE" w:rsidRDefault="003140B8" w:rsidP="007325CE">
      <w:pPr>
        <w:pStyle w:val="JudgmentText"/>
      </w:pPr>
      <w:r>
        <w:lastRenderedPageBreak/>
        <w:t>He avers that d</w:t>
      </w:r>
      <w:r w:rsidR="009D0216">
        <w:t xml:space="preserve">espite the fact that VIJAY2 was registered 3 years ago for the same type of business activity as VIJAY, it only started to operate after the </w:t>
      </w:r>
      <w:r>
        <w:t>Supreme Court j</w:t>
      </w:r>
      <w:r w:rsidR="009D0216">
        <w:t>udgment of 30</w:t>
      </w:r>
      <w:r w:rsidR="009D0216" w:rsidRPr="003140B8">
        <w:rPr>
          <w:vertAlign w:val="superscript"/>
        </w:rPr>
        <w:t>th</w:t>
      </w:r>
      <w:r w:rsidR="009D0216">
        <w:t xml:space="preserve"> June 2020 and the Court of Appeal </w:t>
      </w:r>
      <w:r>
        <w:t>j</w:t>
      </w:r>
      <w:r w:rsidR="009D0216">
        <w:t>udgment dated 2</w:t>
      </w:r>
      <w:r w:rsidR="009D0216" w:rsidRPr="003140B8">
        <w:rPr>
          <w:vertAlign w:val="superscript"/>
        </w:rPr>
        <w:t>nd</w:t>
      </w:r>
      <w:r w:rsidR="009D0216">
        <w:t xml:space="preserve"> October 2020 were delivered in favor of </w:t>
      </w:r>
      <w:r>
        <w:t>EEEL</w:t>
      </w:r>
      <w:r w:rsidR="009D0216">
        <w:t xml:space="preserve">. </w:t>
      </w:r>
      <w:r w:rsidR="007325CE">
        <w:t>He states that VIJAY2 only received its</w:t>
      </w:r>
      <w:r w:rsidR="009D0216">
        <w:t xml:space="preserve"> license for carrying out construction wor</w:t>
      </w:r>
      <w:r w:rsidR="007325CE">
        <w:t>ks</w:t>
      </w:r>
      <w:r w:rsidR="009D0216">
        <w:t xml:space="preserve"> on 15</w:t>
      </w:r>
      <w:r w:rsidR="007325CE" w:rsidRPr="007325CE">
        <w:rPr>
          <w:vertAlign w:val="superscript"/>
        </w:rPr>
        <w:t>th</w:t>
      </w:r>
      <w:r w:rsidR="007325CE">
        <w:t xml:space="preserve"> October </w:t>
      </w:r>
      <w:r w:rsidR="009D0216">
        <w:t>2020</w:t>
      </w:r>
      <w:r w:rsidR="007325CE">
        <w:t xml:space="preserve"> i.e.</w:t>
      </w:r>
      <w:r w:rsidR="009D0216">
        <w:t xml:space="preserve"> two weeks after </w:t>
      </w:r>
      <w:r w:rsidR="007325CE">
        <w:t xml:space="preserve">delivery of </w:t>
      </w:r>
      <w:r w:rsidR="009D0216">
        <w:t>the Court of Appeal Judgment dated 2</w:t>
      </w:r>
      <w:r w:rsidR="009D0216" w:rsidRPr="003140B8">
        <w:rPr>
          <w:vertAlign w:val="superscript"/>
        </w:rPr>
        <w:t>nd</w:t>
      </w:r>
      <w:r w:rsidR="009D0216">
        <w:t xml:space="preserve"> October 2020</w:t>
      </w:r>
      <w:r w:rsidR="007325CE">
        <w:t>.</w:t>
      </w:r>
    </w:p>
    <w:p w:rsidR="007325CE" w:rsidRDefault="00C207E3" w:rsidP="007325CE">
      <w:pPr>
        <w:pStyle w:val="JudgmentText"/>
      </w:pPr>
      <w:r>
        <w:t>VZ</w:t>
      </w:r>
      <w:r w:rsidR="007325CE">
        <w:t xml:space="preserve"> avers that </w:t>
      </w:r>
      <w:r w:rsidR="009D0216">
        <w:t>VIJAY2 is directly affiliated to VIJAY as well as the 2</w:t>
      </w:r>
      <w:r w:rsidR="009D0216" w:rsidRPr="007325CE">
        <w:rPr>
          <w:vertAlign w:val="superscript"/>
        </w:rPr>
        <w:t>nd</w:t>
      </w:r>
      <w:r w:rsidR="007325CE">
        <w:rPr>
          <w:vertAlign w:val="superscript"/>
        </w:rPr>
        <w:t xml:space="preserve"> - </w:t>
      </w:r>
      <w:r w:rsidR="009D0216">
        <w:t>5</w:t>
      </w:r>
      <w:r w:rsidR="009D0216" w:rsidRPr="007325CE">
        <w:rPr>
          <w:vertAlign w:val="superscript"/>
        </w:rPr>
        <w:t>th</w:t>
      </w:r>
      <w:r w:rsidR="009D0216">
        <w:t xml:space="preserve"> </w:t>
      </w:r>
      <w:r w:rsidR="007325CE">
        <w:t xml:space="preserve">respondents </w:t>
      </w:r>
      <w:r w:rsidR="009D0216">
        <w:t>since the composition of the shareholders and directors of bo</w:t>
      </w:r>
      <w:r w:rsidR="007325CE">
        <w:t xml:space="preserve">th companies </w:t>
      </w:r>
      <w:r w:rsidR="009D0216">
        <w:t xml:space="preserve">are the same. Furthermore, the legal name of VIJAY 2 (Vijay Construction </w:t>
      </w:r>
      <w:r w:rsidR="007325CE">
        <w:t>(</w:t>
      </w:r>
      <w:r w:rsidR="009D0216">
        <w:t>Seychelles</w:t>
      </w:r>
      <w:r w:rsidR="007325CE">
        <w:t>)</w:t>
      </w:r>
      <w:r w:rsidR="009D0216">
        <w:t xml:space="preserve"> Pty Ltd) is almost identical to VIJAY’s legal name (Vijay Construction </w:t>
      </w:r>
      <w:r w:rsidR="007325CE">
        <w:t>(</w:t>
      </w:r>
      <w:r w:rsidR="009D0216">
        <w:t>Pty</w:t>
      </w:r>
      <w:r w:rsidR="007325CE">
        <w:t>)</w:t>
      </w:r>
      <w:r w:rsidR="009D0216">
        <w:t xml:space="preserve"> Ltd.) </w:t>
      </w:r>
      <w:r w:rsidR="007325CE">
        <w:t>w</w:t>
      </w:r>
      <w:r w:rsidR="009D0216">
        <w:t>hich</w:t>
      </w:r>
      <w:r w:rsidR="007325CE">
        <w:t xml:space="preserve"> he avers </w:t>
      </w:r>
      <w:r w:rsidR="009D0216">
        <w:t xml:space="preserve">is misleading, creates confusion and gives </w:t>
      </w:r>
      <w:r w:rsidR="007325CE">
        <w:t xml:space="preserve">the </w:t>
      </w:r>
      <w:r w:rsidR="009D0216">
        <w:t>impression to construction market participants that they are dealing with the main company</w:t>
      </w:r>
      <w:r w:rsidR="007325CE">
        <w:t xml:space="preserve"> i.e.</w:t>
      </w:r>
      <w:r w:rsidR="009D0216">
        <w:t xml:space="preserve"> VIJAY. </w:t>
      </w:r>
    </w:p>
    <w:p w:rsidR="000C35E0" w:rsidRDefault="007325CE" w:rsidP="000C35E0">
      <w:pPr>
        <w:pStyle w:val="JudgmentText"/>
      </w:pPr>
      <w:r>
        <w:t xml:space="preserve">He states that he </w:t>
      </w:r>
      <w:r w:rsidR="009D0216">
        <w:t>believe</w:t>
      </w:r>
      <w:r>
        <w:t>s</w:t>
      </w:r>
      <w:r w:rsidR="009D0216">
        <w:t xml:space="preserve"> that the </w:t>
      </w:r>
      <w:r>
        <w:t>2</w:t>
      </w:r>
      <w:r w:rsidRPr="007325CE">
        <w:rPr>
          <w:vertAlign w:val="superscript"/>
        </w:rPr>
        <w:t>nd</w:t>
      </w:r>
      <w:r>
        <w:rPr>
          <w:vertAlign w:val="superscript"/>
        </w:rPr>
        <w:t xml:space="preserve"> - </w:t>
      </w:r>
      <w:r>
        <w:t>5</w:t>
      </w:r>
      <w:r w:rsidRPr="007325CE">
        <w:rPr>
          <w:vertAlign w:val="superscript"/>
        </w:rPr>
        <w:t>th</w:t>
      </w:r>
      <w:r>
        <w:t xml:space="preserve"> respondents’ </w:t>
      </w:r>
      <w:r w:rsidR="009D0216">
        <w:t xml:space="preserve">statement regarding </w:t>
      </w:r>
      <w:r>
        <w:t xml:space="preserve">the </w:t>
      </w:r>
      <w:r w:rsidR="009D0216">
        <w:t xml:space="preserve">inability to pay VIJAY’s debts and having to cease operations on all project sites where VIJAY was undertaking projects prior to the </w:t>
      </w:r>
      <w:r>
        <w:t>j</w:t>
      </w:r>
      <w:r w:rsidR="009D0216">
        <w:t>udgments of the 30</w:t>
      </w:r>
      <w:r w:rsidR="009D0216" w:rsidRPr="007325CE">
        <w:rPr>
          <w:vertAlign w:val="superscript"/>
        </w:rPr>
        <w:t>th</w:t>
      </w:r>
      <w:r w:rsidR="009D0216">
        <w:t xml:space="preserve"> June 2020 and 2</w:t>
      </w:r>
      <w:r w:rsidR="009D0216" w:rsidRPr="007325CE">
        <w:rPr>
          <w:vertAlign w:val="superscript"/>
        </w:rPr>
        <w:t>nd</w:t>
      </w:r>
      <w:r w:rsidR="009D0216">
        <w:t xml:space="preserve"> October 2020</w:t>
      </w:r>
      <w:r>
        <w:t>,</w:t>
      </w:r>
      <w:r w:rsidR="009D0216">
        <w:t xml:space="preserve"> and the plight of its workers in losing their jobs have been exaggerated in the </w:t>
      </w:r>
      <w:r>
        <w:t xml:space="preserve">Winding-Up </w:t>
      </w:r>
      <w:r w:rsidR="009D0216">
        <w:t xml:space="preserve">Petition. This is because VIJAY resumed construction works on all project sites soon after the filing of the </w:t>
      </w:r>
      <w:r w:rsidR="000C35E0">
        <w:t xml:space="preserve">Winding-Up Petition </w:t>
      </w:r>
      <w:r w:rsidR="009D0216">
        <w:t>and</w:t>
      </w:r>
      <w:r w:rsidR="000C35E0">
        <w:t xml:space="preserve"> the filing of the</w:t>
      </w:r>
      <w:r w:rsidR="009D0216">
        <w:t xml:space="preserve"> 2</w:t>
      </w:r>
      <w:r w:rsidR="009D0216" w:rsidRPr="007325CE">
        <w:rPr>
          <w:vertAlign w:val="superscript"/>
        </w:rPr>
        <w:t>nd</w:t>
      </w:r>
      <w:r w:rsidR="009D0216">
        <w:t xml:space="preserve"> </w:t>
      </w:r>
      <w:r w:rsidR="000C35E0">
        <w:t>r</w:t>
      </w:r>
      <w:r w:rsidR="009D0216">
        <w:t>espondent</w:t>
      </w:r>
      <w:r w:rsidR="000C35E0">
        <w:t>’</w:t>
      </w:r>
      <w:r w:rsidR="009D0216">
        <w:t xml:space="preserve"> affidavit. Photographs and video footage showing ongoing wor</w:t>
      </w:r>
      <w:r w:rsidR="000C35E0">
        <w:t>ks</w:t>
      </w:r>
      <w:r w:rsidR="009D0216">
        <w:t xml:space="preserve"> on some of VIJAY</w:t>
      </w:r>
      <w:r w:rsidR="000C35E0">
        <w:t>’s construction sites, plants/machinery and equipment of Vijay</w:t>
      </w:r>
      <w:r w:rsidR="009D0216">
        <w:t xml:space="preserve"> in operation and/or in use on those sites and showing VIJAY workers are </w:t>
      </w:r>
      <w:r w:rsidR="000C35E0">
        <w:t>exhibited (</w:t>
      </w:r>
      <w:r w:rsidR="009D0216">
        <w:t>on a pen drive</w:t>
      </w:r>
      <w:r w:rsidR="000C35E0">
        <w:t>)</w:t>
      </w:r>
      <w:r w:rsidR="009D0216">
        <w:t xml:space="preserve">. </w:t>
      </w:r>
      <w:r w:rsidR="000C35E0">
        <w:t>He avers that s</w:t>
      </w:r>
      <w:r w:rsidR="009D0216">
        <w:t>ince</w:t>
      </w:r>
      <w:r w:rsidR="000C35E0">
        <w:t xml:space="preserve"> VIJAY’s c</w:t>
      </w:r>
      <w:r w:rsidR="009D0216">
        <w:t xml:space="preserve">onstruction sites </w:t>
      </w:r>
      <w:r w:rsidR="000C35E0">
        <w:t>a</w:t>
      </w:r>
      <w:r w:rsidR="009D0216">
        <w:t xml:space="preserve">re not closed, </w:t>
      </w:r>
      <w:r w:rsidR="000C35E0">
        <w:t>and its</w:t>
      </w:r>
      <w:r w:rsidR="009D0216">
        <w:t xml:space="preserve"> workers and its plant/machinery and equipment are at work and in operation and use, the declarations of the 2</w:t>
      </w:r>
      <w:r w:rsidR="009D0216" w:rsidRPr="000C35E0">
        <w:rPr>
          <w:vertAlign w:val="superscript"/>
        </w:rPr>
        <w:t>nd</w:t>
      </w:r>
      <w:r w:rsidR="009D0216">
        <w:t xml:space="preserve"> Respondent as </w:t>
      </w:r>
      <w:r w:rsidR="000C35E0">
        <w:t xml:space="preserve">to </w:t>
      </w:r>
      <w:r w:rsidR="009D0216">
        <w:t xml:space="preserve">cessation of work are incorrect. </w:t>
      </w:r>
    </w:p>
    <w:p w:rsidR="009D0216" w:rsidRDefault="000C35E0" w:rsidP="009D0216">
      <w:pPr>
        <w:pStyle w:val="JudgmentText"/>
      </w:pPr>
      <w:r>
        <w:t xml:space="preserve">He expresses the belief that </w:t>
      </w:r>
      <w:r w:rsidR="009D0216">
        <w:t xml:space="preserve">there is a strong likelihood that if VIJAY is not the one carrying out the construction works on its project sites, then the </w:t>
      </w:r>
      <w:r w:rsidR="003A462F">
        <w:t>2</w:t>
      </w:r>
      <w:r w:rsidR="003A462F" w:rsidRPr="007325CE">
        <w:rPr>
          <w:vertAlign w:val="superscript"/>
        </w:rPr>
        <w:t>nd</w:t>
      </w:r>
      <w:r w:rsidR="003A462F">
        <w:rPr>
          <w:vertAlign w:val="superscript"/>
        </w:rPr>
        <w:t xml:space="preserve"> - </w:t>
      </w:r>
      <w:r w:rsidR="003A462F">
        <w:t>5</w:t>
      </w:r>
      <w:r w:rsidR="003A462F" w:rsidRPr="007325CE">
        <w:rPr>
          <w:vertAlign w:val="superscript"/>
        </w:rPr>
        <w:t>th</w:t>
      </w:r>
      <w:r w:rsidR="003A462F">
        <w:t xml:space="preserve"> respondents </w:t>
      </w:r>
      <w:r w:rsidR="009D0216">
        <w:t>would have initiated transfer of VIJAY</w:t>
      </w:r>
      <w:r w:rsidR="003A462F">
        <w:t>’s</w:t>
      </w:r>
      <w:r w:rsidR="009D0216">
        <w:t xml:space="preserve"> plants/machineries and equipment and its workers to another company that is related to the VIJAY or transferred its said plants/machineries and </w:t>
      </w:r>
      <w:r w:rsidR="009D0216">
        <w:lastRenderedPageBreak/>
        <w:t>equipment and the gainful employment permit in respect of its foreign workers to another company under an agreement betwee</w:t>
      </w:r>
      <w:r w:rsidR="003A462F">
        <w:t>n VIJAY and that other company.</w:t>
      </w:r>
    </w:p>
    <w:p w:rsidR="009D0216" w:rsidRDefault="00C207E3" w:rsidP="003A462F">
      <w:pPr>
        <w:pStyle w:val="JudgmentText"/>
      </w:pPr>
      <w:r>
        <w:t>VZ</w:t>
      </w:r>
      <w:r w:rsidR="003A462F">
        <w:t xml:space="preserve"> goes on to aver that he is advised </w:t>
      </w:r>
      <w:r w:rsidR="009D0216">
        <w:t>by EEEL’s lawyer and believe</w:t>
      </w:r>
      <w:r w:rsidR="003A462F">
        <w:t>s</w:t>
      </w:r>
      <w:r w:rsidR="009D0216">
        <w:t xml:space="preserve"> that the </w:t>
      </w:r>
      <w:r w:rsidR="003A462F">
        <w:t>2</w:t>
      </w:r>
      <w:r w:rsidR="003A462F" w:rsidRPr="007325CE">
        <w:rPr>
          <w:vertAlign w:val="superscript"/>
        </w:rPr>
        <w:t>nd</w:t>
      </w:r>
      <w:r w:rsidR="003A462F">
        <w:rPr>
          <w:vertAlign w:val="superscript"/>
        </w:rPr>
        <w:t xml:space="preserve"> - </w:t>
      </w:r>
      <w:r w:rsidR="003A462F">
        <w:t>5</w:t>
      </w:r>
      <w:r w:rsidR="003A462F" w:rsidRPr="007325CE">
        <w:rPr>
          <w:vertAlign w:val="superscript"/>
        </w:rPr>
        <w:t>th</w:t>
      </w:r>
      <w:r w:rsidR="003A462F">
        <w:t xml:space="preserve"> respondents </w:t>
      </w:r>
      <w:r w:rsidR="009D0216">
        <w:t>repeatedly shows bad faith</w:t>
      </w:r>
      <w:r w:rsidR="003A462F">
        <w:t xml:space="preserve"> based on the f</w:t>
      </w:r>
      <w:r w:rsidR="009D0216">
        <w:t>ollowing</w:t>
      </w:r>
      <w:r w:rsidR="007C2D9D">
        <w:t xml:space="preserve"> as stated at paragraph 25 of his affidavit:</w:t>
      </w:r>
      <w:r w:rsidR="004E633D">
        <w:t xml:space="preserve"> </w:t>
      </w:r>
    </w:p>
    <w:p w:rsidR="009D0216" w:rsidRDefault="009D0216" w:rsidP="00AB6228">
      <w:pPr>
        <w:pStyle w:val="NumberedQuotationindent1"/>
        <w:numPr>
          <w:ilvl w:val="1"/>
          <w:numId w:val="4"/>
        </w:numPr>
      </w:pPr>
      <w:r>
        <w:t>The Directors of VIJAY have continuously declared that they would rather wind up VIJAY than to settle the above Judgment debt to the Applicant, and I refer in that respect to the paragraph 14 of the Affidavit of 2</w:t>
      </w:r>
      <w:r w:rsidRPr="000C6208">
        <w:rPr>
          <w:vertAlign w:val="superscript"/>
        </w:rPr>
        <w:t>nd</w:t>
      </w:r>
      <w:r>
        <w:t xml:space="preserve"> Respondent – </w:t>
      </w:r>
      <w:proofErr w:type="spellStart"/>
      <w:r>
        <w:t>Vishram</w:t>
      </w:r>
      <w:proofErr w:type="spellEnd"/>
      <w:r>
        <w:t xml:space="preserve"> </w:t>
      </w:r>
      <w:proofErr w:type="spellStart"/>
      <w:r>
        <w:t>Jadva</w:t>
      </w:r>
      <w:proofErr w:type="spellEnd"/>
      <w:r>
        <w:t xml:space="preserve"> Patel in response to a motion for a prohibitory injunction dated 9</w:t>
      </w:r>
      <w:r w:rsidRPr="000C6208">
        <w:rPr>
          <w:vertAlign w:val="superscript"/>
        </w:rPr>
        <w:t>th</w:t>
      </w:r>
      <w:r>
        <w:t xml:space="preserve"> December 2015 in MA315/2015 arising out of CS33/2015, page 28 of the transcript of Supreme Court Proceedings in CS 33/2015 of Wednesday 2</w:t>
      </w:r>
      <w:r w:rsidRPr="00F03EA8">
        <w:rPr>
          <w:vertAlign w:val="superscript"/>
        </w:rPr>
        <w:t>nd</w:t>
      </w:r>
      <w:r>
        <w:t xml:space="preserve"> September 2015 at 9. 30 on the cross examination of the 2</w:t>
      </w:r>
      <w:r w:rsidRPr="00F03EA8">
        <w:rPr>
          <w:vertAlign w:val="superscript"/>
        </w:rPr>
        <w:t>nd</w:t>
      </w:r>
      <w:r>
        <w:t xml:space="preserve"> Respondent, paragraph 8 of the Affidavit of 5</w:t>
      </w:r>
      <w:r w:rsidRPr="00F03EA8">
        <w:rPr>
          <w:vertAlign w:val="superscript"/>
        </w:rPr>
        <w:t>th</w:t>
      </w:r>
      <w:r>
        <w:t xml:space="preserve"> Respondent’s (</w:t>
      </w:r>
      <w:proofErr w:type="spellStart"/>
      <w:r w:rsidR="00A728D1">
        <w:t>K</w:t>
      </w:r>
      <w:r>
        <w:t>aushalkumar</w:t>
      </w:r>
      <w:proofErr w:type="spellEnd"/>
      <w:r>
        <w:t xml:space="preserve"> Patel)dated 1</w:t>
      </w:r>
      <w:r w:rsidRPr="00F03EA8">
        <w:rPr>
          <w:vertAlign w:val="superscript"/>
        </w:rPr>
        <w:t>st</w:t>
      </w:r>
      <w:r>
        <w:t xml:space="preserve"> July 2020 and paragraph 20 of his affidavit dated 21</w:t>
      </w:r>
      <w:r w:rsidRPr="00F03EA8">
        <w:rPr>
          <w:vertAlign w:val="superscript"/>
        </w:rPr>
        <w:t>st</w:t>
      </w:r>
      <w:r>
        <w:t xml:space="preserve"> July 2020 in support of an application for stay of execution of Judgment in MA101/2020 arising out of Civil Side 23/2019 are now produced. </w:t>
      </w:r>
    </w:p>
    <w:p w:rsidR="00A728D1" w:rsidRDefault="00A728D1" w:rsidP="00A728D1">
      <w:pPr>
        <w:pStyle w:val="NumberedQuotationindent1"/>
        <w:numPr>
          <w:ilvl w:val="0"/>
          <w:numId w:val="0"/>
        </w:numPr>
        <w:ind w:left="1800"/>
      </w:pPr>
    </w:p>
    <w:p w:rsidR="00A728D1" w:rsidRDefault="00A728D1" w:rsidP="00AB6228">
      <w:pPr>
        <w:pStyle w:val="NumberedQuotationindent1"/>
        <w:numPr>
          <w:ilvl w:val="1"/>
          <w:numId w:val="4"/>
        </w:numPr>
      </w:pPr>
      <w:r>
        <w:t>Acting in a capacity of the Directors of VIJAY the Respondents 2</w:t>
      </w:r>
      <w:r w:rsidRPr="00F03EA8">
        <w:rPr>
          <w:vertAlign w:val="superscript"/>
        </w:rPr>
        <w:t>nd</w:t>
      </w:r>
      <w:r>
        <w:t xml:space="preserve"> – 5</w:t>
      </w:r>
      <w:r w:rsidRPr="00F03EA8">
        <w:rPr>
          <w:vertAlign w:val="superscript"/>
        </w:rPr>
        <w:t>th</w:t>
      </w:r>
      <w:r>
        <w:t xml:space="preserve"> transferred VIJAY’s shares in Q Glazing LTD (UK company) to Ms. </w:t>
      </w:r>
      <w:proofErr w:type="spellStart"/>
      <w:r>
        <w:t>Versani</w:t>
      </w:r>
      <w:proofErr w:type="spellEnd"/>
      <w:r>
        <w:t>. I state that this was not a bona fide transfer for value, and that it was effected in an attempt to conceal the actual ownership of VIJAY’s shareholding in Q Glazing Ltd. A copy of the annual term returns and confirmation statement for Q Glazing Ltd are now produced.</w:t>
      </w:r>
    </w:p>
    <w:p w:rsidR="00A728D1" w:rsidRDefault="00A728D1" w:rsidP="00A728D1">
      <w:pPr>
        <w:pStyle w:val="NumberedQuotationindent1"/>
        <w:numPr>
          <w:ilvl w:val="0"/>
          <w:numId w:val="0"/>
        </w:numPr>
      </w:pPr>
    </w:p>
    <w:p w:rsidR="00511ECE" w:rsidRDefault="00A728D1" w:rsidP="00AB6228">
      <w:pPr>
        <w:pStyle w:val="NumberedQuotationindent1"/>
        <w:numPr>
          <w:ilvl w:val="1"/>
          <w:numId w:val="4"/>
        </w:numPr>
      </w:pPr>
      <w:r>
        <w:t>On the 22</w:t>
      </w:r>
      <w:r w:rsidRPr="00F03EA8">
        <w:rPr>
          <w:vertAlign w:val="superscript"/>
        </w:rPr>
        <w:t>nd</w:t>
      </w:r>
      <w:r>
        <w:t xml:space="preserve"> December 2015 the Respondents 2</w:t>
      </w:r>
      <w:r w:rsidRPr="00F03EA8">
        <w:rPr>
          <w:vertAlign w:val="superscript"/>
        </w:rPr>
        <w:t>nd</w:t>
      </w:r>
      <w:r w:rsidR="00511ECE">
        <w:rPr>
          <w:vertAlign w:val="superscript"/>
        </w:rPr>
        <w:t xml:space="preserve"> - </w:t>
      </w:r>
      <w:r>
        <w:t>5</w:t>
      </w:r>
      <w:r w:rsidRPr="00F03EA8">
        <w:rPr>
          <w:vertAlign w:val="superscript"/>
        </w:rPr>
        <w:t>th</w:t>
      </w:r>
      <w:r>
        <w:t xml:space="preserve"> acting in capacity of the Directors of VIJAY transferred USD One Million from its Nouvobanq USD Account No 3200240475006 to the personal account in India of the 1</w:t>
      </w:r>
      <w:r w:rsidRPr="00F03EA8">
        <w:rPr>
          <w:vertAlign w:val="superscript"/>
        </w:rPr>
        <w:t>st</w:t>
      </w:r>
      <w:r>
        <w:t xml:space="preserve"> Respondent. This was discovered on 7</w:t>
      </w:r>
      <w:r w:rsidRPr="00F03EA8">
        <w:rPr>
          <w:vertAlign w:val="superscript"/>
        </w:rPr>
        <w:t>th</w:t>
      </w:r>
      <w:r>
        <w:t xml:space="preserve"> January 2016 during cross examination of the operations Manager of Nouvobanq in the Seychellois recognition proceedings. In his affidavit dated 30 November 2016, the 2</w:t>
      </w:r>
      <w:r w:rsidRPr="007F29C7">
        <w:rPr>
          <w:vertAlign w:val="superscript"/>
        </w:rPr>
        <w:t>nd</w:t>
      </w:r>
      <w:r>
        <w:t xml:space="preserve"> Respondent stated that several more remittances made from the Nouvobanq account to his personal account in India and insisted that this was also a long standing practice dating back several years. A copy of the Affidavit of 30</w:t>
      </w:r>
      <w:r w:rsidRPr="007F29C7">
        <w:rPr>
          <w:vertAlign w:val="superscript"/>
        </w:rPr>
        <w:t>th</w:t>
      </w:r>
      <w:r>
        <w:t xml:space="preserve"> November 2016 and transcript of proceeding dated 7</w:t>
      </w:r>
      <w:r w:rsidRPr="007F29C7">
        <w:rPr>
          <w:vertAlign w:val="superscript"/>
        </w:rPr>
        <w:t>th</w:t>
      </w:r>
      <w:r>
        <w:t xml:space="preserve"> January 2016 are now produced.</w:t>
      </w:r>
      <w:r w:rsidR="00511ECE" w:rsidRPr="00511ECE">
        <w:t xml:space="preserve"> </w:t>
      </w:r>
    </w:p>
    <w:p w:rsidR="00511ECE" w:rsidRDefault="00511ECE" w:rsidP="00511ECE">
      <w:pPr>
        <w:pStyle w:val="ListParagraph"/>
      </w:pPr>
    </w:p>
    <w:p w:rsidR="00511ECE" w:rsidRDefault="00511ECE" w:rsidP="00AB6228">
      <w:pPr>
        <w:pStyle w:val="NumberedQuotationindent1"/>
        <w:numPr>
          <w:ilvl w:val="1"/>
          <w:numId w:val="4"/>
        </w:numPr>
      </w:pPr>
      <w:r>
        <w:t>Subsequently, on 7 August 2017, the 5</w:t>
      </w:r>
      <w:r w:rsidRPr="00B847DA">
        <w:rPr>
          <w:vertAlign w:val="superscript"/>
        </w:rPr>
        <w:t>th</w:t>
      </w:r>
      <w:r>
        <w:t xml:space="preserve"> Respondent admitted in Court that there were “several” payments. When pressed on the point he admitted that 9 </w:t>
      </w:r>
      <w:r>
        <w:lastRenderedPageBreak/>
        <w:t>payments were made in 2015 and 8 payments in 2016. The 4</w:t>
      </w:r>
      <w:r w:rsidRPr="00B847DA">
        <w:rPr>
          <w:vertAlign w:val="superscript"/>
        </w:rPr>
        <w:t>th</w:t>
      </w:r>
      <w:r>
        <w:t xml:space="preserve"> Respondent confirmed that each payment totaled US$1,000000 save for the one payment of US$700,00. This postdated the relevant protective orders. There is a reason to believe that substantial sums have been and continue to be transferred to personal account (s) of the 1</w:t>
      </w:r>
      <w:r w:rsidRPr="00B847DA">
        <w:rPr>
          <w:vertAlign w:val="superscript"/>
        </w:rPr>
        <w:t>st</w:t>
      </w:r>
      <w:r>
        <w:t xml:space="preserve"> Respondent on a regular basis. Estimate the total amount of funds of the injunction order to be US$17,000,000 as of 7 August 2017 (when 5</w:t>
      </w:r>
      <w:r w:rsidRPr="00B847DA">
        <w:rPr>
          <w:vertAlign w:val="superscript"/>
        </w:rPr>
        <w:t>th</w:t>
      </w:r>
      <w:r>
        <w:t xml:space="preserve"> Respondent gave evidence on these matters). A copy of the transcript of proceedings of 7</w:t>
      </w:r>
      <w:r w:rsidRPr="00B847DA">
        <w:rPr>
          <w:vertAlign w:val="superscript"/>
        </w:rPr>
        <w:t>th</w:t>
      </w:r>
      <w:r>
        <w:t xml:space="preserve"> August 2017 and order on motion dated 12 November 2015 are now produced.</w:t>
      </w:r>
      <w:r w:rsidRPr="00511ECE">
        <w:t xml:space="preserve"> </w:t>
      </w:r>
    </w:p>
    <w:p w:rsidR="00511ECE" w:rsidRDefault="00511ECE" w:rsidP="00511ECE">
      <w:pPr>
        <w:pStyle w:val="ListParagraph"/>
      </w:pPr>
    </w:p>
    <w:p w:rsidR="00A728D1" w:rsidRDefault="00511ECE" w:rsidP="00AB6228">
      <w:pPr>
        <w:pStyle w:val="NumberedQuotationindent1"/>
        <w:numPr>
          <w:ilvl w:val="1"/>
          <w:numId w:val="4"/>
        </w:numPr>
      </w:pPr>
      <w:r>
        <w:t>The respondents 2</w:t>
      </w:r>
      <w:r w:rsidRPr="007F29C7">
        <w:rPr>
          <w:vertAlign w:val="superscript"/>
        </w:rPr>
        <w:t>nd</w:t>
      </w:r>
      <w:r>
        <w:t xml:space="preserve"> – 5</w:t>
      </w:r>
      <w:r w:rsidRPr="007F29C7">
        <w:rPr>
          <w:vertAlign w:val="superscript"/>
        </w:rPr>
        <w:t>th</w:t>
      </w:r>
      <w:r>
        <w:t xml:space="preserve"> authorized the disbursement of funds for the purchase of a Mercedes 5400 Hybrid Vehicle Registration No S26318 in circumstances where there was no business rationale of such vehicle.</w:t>
      </w:r>
    </w:p>
    <w:p w:rsidR="00511ECE" w:rsidRDefault="00511ECE" w:rsidP="009D0216"/>
    <w:p w:rsidR="002627C6" w:rsidRDefault="00511ECE" w:rsidP="002627C6">
      <w:pPr>
        <w:pStyle w:val="JudgmentText"/>
      </w:pPr>
      <w:r>
        <w:t>It is averred that t</w:t>
      </w:r>
      <w:r w:rsidR="009D0216">
        <w:t xml:space="preserve">he multiple applications caused to be filed by the </w:t>
      </w:r>
      <w:r>
        <w:t>2</w:t>
      </w:r>
      <w:r w:rsidRPr="007325CE">
        <w:rPr>
          <w:vertAlign w:val="superscript"/>
        </w:rPr>
        <w:t>nd</w:t>
      </w:r>
      <w:r>
        <w:rPr>
          <w:vertAlign w:val="superscript"/>
        </w:rPr>
        <w:t xml:space="preserve"> - </w:t>
      </w:r>
      <w:r>
        <w:t>5</w:t>
      </w:r>
      <w:r w:rsidRPr="007325CE">
        <w:rPr>
          <w:vertAlign w:val="superscript"/>
        </w:rPr>
        <w:t>th</w:t>
      </w:r>
      <w:r>
        <w:t xml:space="preserve"> respondents</w:t>
      </w:r>
      <w:r w:rsidR="009D0216">
        <w:t xml:space="preserve"> in </w:t>
      </w:r>
      <w:r>
        <w:t xml:space="preserve">their </w:t>
      </w:r>
      <w:r w:rsidR="009D0216">
        <w:t xml:space="preserve">capacity </w:t>
      </w:r>
      <w:r>
        <w:t>as d</w:t>
      </w:r>
      <w:r w:rsidR="009D0216">
        <w:t xml:space="preserve">irectors of VIJAY in </w:t>
      </w:r>
      <w:r>
        <w:t xml:space="preserve">the </w:t>
      </w:r>
      <w:r w:rsidR="009D0216">
        <w:t>Constitutional Court and the Court of Appeal we</w:t>
      </w:r>
      <w:r w:rsidR="00155AFB">
        <w:t>re and are frivolous, vexations and</w:t>
      </w:r>
      <w:r w:rsidR="009D0216">
        <w:t xml:space="preserve"> spurious</w:t>
      </w:r>
      <w:r w:rsidR="00155AFB">
        <w:t>. Furthermore,</w:t>
      </w:r>
      <w:r>
        <w:t xml:space="preserve"> that the same applications</w:t>
      </w:r>
      <w:r w:rsidR="009D0216">
        <w:t xml:space="preserve"> to mislead the Court were designed purely and simply to harass the Applicant and delay execution of the </w:t>
      </w:r>
      <w:r>
        <w:t>j</w:t>
      </w:r>
      <w:r w:rsidR="00155AFB">
        <w:t>udgments, denying the Applicant</w:t>
      </w:r>
      <w:r w:rsidR="009D0216">
        <w:t xml:space="preserve"> the fruit of </w:t>
      </w:r>
      <w:r w:rsidR="002627C6">
        <w:t>the</w:t>
      </w:r>
      <w:r w:rsidR="009D0216">
        <w:t xml:space="preserve"> said </w:t>
      </w:r>
      <w:r w:rsidR="002627C6">
        <w:t>j</w:t>
      </w:r>
      <w:r w:rsidR="009D0216">
        <w:t>udgment</w:t>
      </w:r>
      <w:r w:rsidR="002627C6">
        <w:t>s</w:t>
      </w:r>
      <w:r w:rsidR="00155AFB">
        <w:t xml:space="preserve">. Finally, it is averred that the applications were </w:t>
      </w:r>
      <w:r w:rsidR="009D0216">
        <w:t xml:space="preserve">filed for wrongful motives and constitute an abuse of right to sue for valid and probable cause. </w:t>
      </w:r>
    </w:p>
    <w:p w:rsidR="00BB76D7" w:rsidRDefault="002627C6" w:rsidP="00BB76D7">
      <w:pPr>
        <w:pStyle w:val="JudgmentText"/>
      </w:pPr>
      <w:r>
        <w:t>It is further averred that b</w:t>
      </w:r>
      <w:r w:rsidR="009D0216">
        <w:t>ased on the matters stated in th</w:t>
      </w:r>
      <w:r>
        <w:t>e</w:t>
      </w:r>
      <w:r w:rsidR="009D0216">
        <w:t xml:space="preserve"> </w:t>
      </w:r>
      <w:r>
        <w:t>a</w:t>
      </w:r>
      <w:r w:rsidR="009D0216">
        <w:t xml:space="preserve">ffidavit, </w:t>
      </w:r>
      <w:r>
        <w:t>the 2</w:t>
      </w:r>
      <w:r w:rsidR="00155AFB">
        <w:rPr>
          <w:vertAlign w:val="superscript"/>
        </w:rPr>
        <w:t xml:space="preserve">nd </w:t>
      </w:r>
      <w:r w:rsidR="00155AFB">
        <w:t xml:space="preserve">- </w:t>
      </w:r>
      <w:r>
        <w:t>5</w:t>
      </w:r>
      <w:r w:rsidRPr="007325CE">
        <w:rPr>
          <w:vertAlign w:val="superscript"/>
        </w:rPr>
        <w:t>th</w:t>
      </w:r>
      <w:r>
        <w:t xml:space="preserve"> respondents </w:t>
      </w:r>
      <w:r w:rsidR="009D0216">
        <w:t>have misled and/or given misleading information and evidence to the Court and a</w:t>
      </w:r>
      <w:r w:rsidR="00155AFB">
        <w:t>cted in contempt of this Court. T</w:t>
      </w:r>
      <w:r>
        <w:t>herefore</w:t>
      </w:r>
      <w:r w:rsidR="00155AFB">
        <w:t xml:space="preserve"> it is</w:t>
      </w:r>
      <w:r>
        <w:t xml:space="preserve"> </w:t>
      </w:r>
      <w:r w:rsidR="00155AFB">
        <w:t>necessary in the interest</w:t>
      </w:r>
      <w:r w:rsidR="009D0216">
        <w:t xml:space="preserve"> of justice that summons are issued on the </w:t>
      </w:r>
      <w:r w:rsidR="00155AFB">
        <w:t>2</w:t>
      </w:r>
      <w:r w:rsidR="00155AFB" w:rsidRPr="00155AFB">
        <w:rPr>
          <w:vertAlign w:val="superscript"/>
        </w:rPr>
        <w:t>nd</w:t>
      </w:r>
      <w:r w:rsidR="00155AFB">
        <w:t xml:space="preserve"> - </w:t>
      </w:r>
      <w:r>
        <w:t>5</w:t>
      </w:r>
      <w:r w:rsidRPr="007325CE">
        <w:rPr>
          <w:vertAlign w:val="superscript"/>
        </w:rPr>
        <w:t>th</w:t>
      </w:r>
      <w:r w:rsidR="009D0216">
        <w:t xml:space="preserve"> to show cause as to why they should not be held personally liable in contempt of this Court for having misled and/or given misleading information and evidence to the Court. </w:t>
      </w:r>
    </w:p>
    <w:p w:rsidR="009D0216" w:rsidRDefault="00BB76D7" w:rsidP="00BB76D7">
      <w:pPr>
        <w:pStyle w:val="JudgmentText"/>
      </w:pPr>
      <w:r>
        <w:t xml:space="preserve">Finally it is averred that </w:t>
      </w:r>
      <w:r w:rsidR="009D0216">
        <w:t xml:space="preserve">based on the aforementioned, this Court should make an order that the </w:t>
      </w:r>
      <w:r>
        <w:t>r</w:t>
      </w:r>
      <w:r w:rsidR="009D0216">
        <w:t>espondents have acted in contempt of Court</w:t>
      </w:r>
      <w:r>
        <w:t>,</w:t>
      </w:r>
      <w:r w:rsidR="009D0216">
        <w:t xml:space="preserve"> punish the</w:t>
      </w:r>
      <w:r>
        <w:t>m</w:t>
      </w:r>
      <w:r w:rsidR="009D0216">
        <w:t xml:space="preserve"> for the said contempt</w:t>
      </w:r>
      <w:r>
        <w:t>,</w:t>
      </w:r>
      <w:r w:rsidR="009D0216">
        <w:t xml:space="preserve"> and make such further or other orders as this Court deems fit in the circumstances</w:t>
      </w:r>
      <w:r>
        <w:t>.</w:t>
      </w:r>
    </w:p>
    <w:p w:rsidR="00BB76D7" w:rsidRDefault="00BB76D7" w:rsidP="00BB76D7">
      <w:pPr>
        <w:pStyle w:val="Jjmntheading1"/>
      </w:pPr>
      <w:r>
        <w:t>Answer to motion</w:t>
      </w:r>
    </w:p>
    <w:p w:rsidR="00BB76D7" w:rsidRDefault="001A06F2" w:rsidP="00BB76D7">
      <w:pPr>
        <w:pStyle w:val="JudgmentText"/>
      </w:pPr>
      <w:r>
        <w:t xml:space="preserve">The respondents oppose the motion. They have filed the following pleas in limine </w:t>
      </w:r>
      <w:proofErr w:type="spellStart"/>
      <w:r>
        <w:t>litis</w:t>
      </w:r>
      <w:proofErr w:type="spellEnd"/>
      <w:r>
        <w:t>:</w:t>
      </w:r>
    </w:p>
    <w:p w:rsidR="001A06F2" w:rsidRDefault="001A06F2" w:rsidP="00AB6228">
      <w:pPr>
        <w:pStyle w:val="NumberedQuotationindent1"/>
        <w:numPr>
          <w:ilvl w:val="3"/>
          <w:numId w:val="3"/>
        </w:numPr>
        <w:ind w:left="1440"/>
      </w:pPr>
      <w:r>
        <w:lastRenderedPageBreak/>
        <w:t xml:space="preserve">The motion is frivolous, and vexatious and amounts to an abuse of the process of this Honorable Court. </w:t>
      </w:r>
    </w:p>
    <w:p w:rsidR="001A06F2" w:rsidRDefault="001A06F2" w:rsidP="001A06F2">
      <w:pPr>
        <w:pStyle w:val="NumberedQuotationindent1"/>
        <w:numPr>
          <w:ilvl w:val="0"/>
          <w:numId w:val="0"/>
        </w:numPr>
        <w:ind w:left="1080" w:hanging="360"/>
      </w:pPr>
    </w:p>
    <w:p w:rsidR="001A06F2" w:rsidRDefault="001A06F2" w:rsidP="00AB6228">
      <w:pPr>
        <w:pStyle w:val="NumberedQuotationindent1"/>
        <w:numPr>
          <w:ilvl w:val="3"/>
          <w:numId w:val="3"/>
        </w:numPr>
        <w:ind w:left="1440"/>
      </w:pPr>
      <w:r>
        <w:t>The motion is bad in law in that it does not identify the order of the Court of which the Respondents or any of them are alleged to be in contempt.</w:t>
      </w:r>
    </w:p>
    <w:p w:rsidR="001A06F2" w:rsidRDefault="001A06F2" w:rsidP="001A06F2">
      <w:pPr>
        <w:pStyle w:val="ListParagraph"/>
      </w:pPr>
    </w:p>
    <w:p w:rsidR="001A06F2" w:rsidRDefault="001A06F2" w:rsidP="00AB6228">
      <w:pPr>
        <w:pStyle w:val="NumberedQuotationindent1"/>
        <w:numPr>
          <w:ilvl w:val="3"/>
          <w:numId w:val="3"/>
        </w:numPr>
        <w:ind w:left="1440"/>
      </w:pPr>
      <w:r>
        <w:t>The motion does not make out any contempt by any of the Respondents and it is simply a vexatious attempt at rehearsing a litany of grievances that singly or in combination fall short of contempt.</w:t>
      </w:r>
    </w:p>
    <w:p w:rsidR="001A06F2" w:rsidRDefault="001A06F2" w:rsidP="001A06F2">
      <w:pPr>
        <w:pStyle w:val="ListParagraph"/>
      </w:pPr>
    </w:p>
    <w:p w:rsidR="001A06F2" w:rsidRDefault="001A06F2" w:rsidP="00AB6228">
      <w:pPr>
        <w:pStyle w:val="NumberedQuotationindent1"/>
        <w:numPr>
          <w:ilvl w:val="3"/>
          <w:numId w:val="3"/>
        </w:numPr>
        <w:ind w:left="1440"/>
      </w:pPr>
      <w:r>
        <w:t xml:space="preserve">Any redress which the Applicant may have against the Respondents or any of them lies elsewhere than in contempt proceedings. </w:t>
      </w:r>
    </w:p>
    <w:p w:rsidR="00494210" w:rsidRDefault="00494210" w:rsidP="00E3369A">
      <w:pPr>
        <w:pStyle w:val="Jjmntheading1"/>
      </w:pPr>
    </w:p>
    <w:p w:rsidR="001C659B" w:rsidRDefault="001A06F2" w:rsidP="001C659B">
      <w:pPr>
        <w:pStyle w:val="JudgmentText"/>
      </w:pPr>
      <w:r>
        <w:t xml:space="preserve">The answer of the respondents on the merits of the motion is contained in the affidavit of </w:t>
      </w:r>
      <w:proofErr w:type="spellStart"/>
      <w:r>
        <w:t>Vishram</w:t>
      </w:r>
      <w:proofErr w:type="spellEnd"/>
      <w:r>
        <w:t xml:space="preserve"> </w:t>
      </w:r>
      <w:proofErr w:type="spellStart"/>
      <w:r>
        <w:t>Jadva</w:t>
      </w:r>
      <w:proofErr w:type="spellEnd"/>
      <w:r>
        <w:t xml:space="preserve"> Patel</w:t>
      </w:r>
      <w:r w:rsidR="00C207E3">
        <w:t xml:space="preserve"> (“VJP”)</w:t>
      </w:r>
      <w:r>
        <w:t xml:space="preserve"> in which he makes declarations both on his own personal behalf and as a </w:t>
      </w:r>
      <w:r w:rsidR="000E1274">
        <w:t xml:space="preserve">director of </w:t>
      </w:r>
      <w:r>
        <w:t>VIJAY and</w:t>
      </w:r>
      <w:r w:rsidR="000E1274">
        <w:t xml:space="preserve"> of</w:t>
      </w:r>
      <w:r>
        <w:t xml:space="preserve"> Vijay Construction (Seychelles) (Proprietary) Limited (“VIJAY2)</w:t>
      </w:r>
      <w:r w:rsidR="00E9535F">
        <w:t xml:space="preserve">. Except for what is stated below, the averments in the affidavit of </w:t>
      </w:r>
      <w:r w:rsidR="00C207E3">
        <w:t>VZ</w:t>
      </w:r>
      <w:r w:rsidR="00E9535F">
        <w:t xml:space="preserve"> are admitted.</w:t>
      </w:r>
    </w:p>
    <w:p w:rsidR="001C659B" w:rsidRDefault="001C659B" w:rsidP="001C659B">
      <w:pPr>
        <w:pStyle w:val="JudgmentText"/>
      </w:pPr>
      <w:r>
        <w:t>He avers that w</w:t>
      </w:r>
      <w:r w:rsidR="001A06F2">
        <w:t xml:space="preserve">hile </w:t>
      </w:r>
      <w:r>
        <w:t>he</w:t>
      </w:r>
      <w:r w:rsidR="001A06F2">
        <w:t xml:space="preserve"> agree</w:t>
      </w:r>
      <w:r>
        <w:t>s</w:t>
      </w:r>
      <w:r w:rsidR="001A06F2">
        <w:t xml:space="preserve"> that the </w:t>
      </w:r>
      <w:r>
        <w:t>R</w:t>
      </w:r>
      <w:r w:rsidR="001A06F2">
        <w:t xml:space="preserve">ules of </w:t>
      </w:r>
      <w:r>
        <w:t>A</w:t>
      </w:r>
      <w:r w:rsidR="001A06F2">
        <w:t xml:space="preserve">rbitration of the ICC provide </w:t>
      </w:r>
      <w:r>
        <w:t xml:space="preserve">that by submitting a dispute to arbitration under such rules, the parties undertake to carry out any award without delay and shall be deemed to have waived their right to any form of recourse insofar as </w:t>
      </w:r>
      <w:r w:rsidR="00E174D7">
        <w:t>such waiver can validly be made. H</w:t>
      </w:r>
      <w:r>
        <w:t>e believes that</w:t>
      </w:r>
      <w:r w:rsidR="001A06F2">
        <w:t xml:space="preserve"> the rules in that respect are exhortative only and do not, and cannot deny any party to an arbitration the right to avail itself of remedies provided b</w:t>
      </w:r>
      <w:r>
        <w:t>y law for challenging an award.</w:t>
      </w:r>
    </w:p>
    <w:p w:rsidR="001A06F2" w:rsidRDefault="001C659B" w:rsidP="001C659B">
      <w:pPr>
        <w:pStyle w:val="JudgmentText"/>
      </w:pPr>
      <w:r>
        <w:t>He also d</w:t>
      </w:r>
      <w:r w:rsidR="001A06F2">
        <w:t>en</w:t>
      </w:r>
      <w:r>
        <w:t>ies that disputes arose between the parties in the course of the performance of the agreements between them</w:t>
      </w:r>
      <w:r w:rsidR="000E1274">
        <w:t>,</w:t>
      </w:r>
      <w:r>
        <w:t xml:space="preserve"> resulting in the termination of all the agreements by EEEL and avers that i</w:t>
      </w:r>
      <w:r w:rsidR="001A06F2">
        <w:t>t was only V</w:t>
      </w:r>
      <w:r w:rsidR="000E1274">
        <w:t>IJAY</w:t>
      </w:r>
      <w:r w:rsidR="001A06F2">
        <w:t xml:space="preserve"> which raised a dispute. </w:t>
      </w:r>
    </w:p>
    <w:p w:rsidR="001A06F2" w:rsidRDefault="000E1274" w:rsidP="000E1274">
      <w:pPr>
        <w:pStyle w:val="JudgmentText"/>
      </w:pPr>
      <w:r>
        <w:t>He denies</w:t>
      </w:r>
      <w:r w:rsidR="001A06F2">
        <w:t xml:space="preserve"> that the directors or </w:t>
      </w:r>
      <w:r>
        <w:t xml:space="preserve">VIJAY </w:t>
      </w:r>
      <w:r w:rsidR="001A06F2">
        <w:t xml:space="preserve">refused to comply with the </w:t>
      </w:r>
      <w:r>
        <w:t xml:space="preserve">arbitral </w:t>
      </w:r>
      <w:r w:rsidR="001A06F2">
        <w:t>award</w:t>
      </w:r>
      <w:r>
        <w:t xml:space="preserve"> and avers that they all</w:t>
      </w:r>
      <w:r w:rsidR="001A06F2">
        <w:t xml:space="preserve"> availed ourselves of the procedures permitted by law to challenge the award, which </w:t>
      </w:r>
      <w:r>
        <w:t>he</w:t>
      </w:r>
      <w:r w:rsidR="001A06F2">
        <w:t xml:space="preserve"> believe</w:t>
      </w:r>
      <w:r>
        <w:t>s had</w:t>
      </w:r>
      <w:r w:rsidR="001A06F2">
        <w:t xml:space="preserve"> been obtained through unacceptable practices by </w:t>
      </w:r>
      <w:r>
        <w:t>EEEL</w:t>
      </w:r>
      <w:r w:rsidR="001A06F2">
        <w:t xml:space="preserve">, was procedurally and substantively flawed and delivered an unfair, unjust, and abusive result. </w:t>
      </w:r>
      <w:r w:rsidR="00967543">
        <w:lastRenderedPageBreak/>
        <w:t>The same is repeated in regards to the 2</w:t>
      </w:r>
      <w:r w:rsidR="00967543" w:rsidRPr="00967543">
        <w:rPr>
          <w:vertAlign w:val="superscript"/>
        </w:rPr>
        <w:t>nd</w:t>
      </w:r>
      <w:r w:rsidR="00967543">
        <w:t xml:space="preserve"> – 5</w:t>
      </w:r>
      <w:r w:rsidR="00967543" w:rsidRPr="00967543">
        <w:rPr>
          <w:vertAlign w:val="superscript"/>
        </w:rPr>
        <w:t>th</w:t>
      </w:r>
      <w:r w:rsidR="00967543">
        <w:t xml:space="preserve"> respondents’ failure and refusal to cause VIJAY to comply with the Supreme Court and Court of Appeal</w:t>
      </w:r>
      <w:r w:rsidR="00967543" w:rsidRPr="00967543">
        <w:t xml:space="preserve"> </w:t>
      </w:r>
      <w:r w:rsidR="00967543">
        <w:t>Judgments of 30</w:t>
      </w:r>
      <w:r w:rsidR="00967543" w:rsidRPr="00967543">
        <w:rPr>
          <w:vertAlign w:val="superscript"/>
        </w:rPr>
        <w:t>th</w:t>
      </w:r>
      <w:r w:rsidR="00967543">
        <w:t xml:space="preserve"> June 2020 and 2</w:t>
      </w:r>
      <w:r w:rsidR="00967543" w:rsidRPr="003140B8">
        <w:rPr>
          <w:vertAlign w:val="superscript"/>
        </w:rPr>
        <w:t>nd</w:t>
      </w:r>
      <w:r w:rsidR="00967543">
        <w:t xml:space="preserve"> October 2020 respectively and the filing of the applications by VIJAY to avoid execution of the judgments.</w:t>
      </w:r>
    </w:p>
    <w:p w:rsidR="007324EE" w:rsidRDefault="00967543" w:rsidP="007324EE">
      <w:pPr>
        <w:pStyle w:val="JudgmentText"/>
      </w:pPr>
      <w:r>
        <w:t>As for the Ruling of the Constitutional Court in CP10/2020</w:t>
      </w:r>
      <w:r w:rsidR="00E9535F">
        <w:t xml:space="preserve">, </w:t>
      </w:r>
      <w:r w:rsidR="00F656BB" w:rsidRPr="00F656BB">
        <w:t>dated 24</w:t>
      </w:r>
      <w:r w:rsidR="00F656BB" w:rsidRPr="00F656BB">
        <w:rPr>
          <w:vertAlign w:val="superscript"/>
        </w:rPr>
        <w:t>th</w:t>
      </w:r>
      <w:r w:rsidR="00F656BB" w:rsidRPr="00F656BB">
        <w:t xml:space="preserve"> November 2020</w:t>
      </w:r>
      <w:r w:rsidR="00F656BB">
        <w:t xml:space="preserve">, </w:t>
      </w:r>
      <w:r w:rsidR="00C207E3">
        <w:t>VJP</w:t>
      </w:r>
      <w:r>
        <w:t xml:space="preserve"> expresses the belief</w:t>
      </w:r>
      <w:r w:rsidR="00E9535F">
        <w:t xml:space="preserve"> that the ruling was wrong and states that VIJAY has appe</w:t>
      </w:r>
      <w:r w:rsidR="001A06F2">
        <w:t xml:space="preserve">aled to the Court of Appeal against </w:t>
      </w:r>
      <w:r w:rsidR="00E9535F">
        <w:t>it</w:t>
      </w:r>
      <w:r w:rsidR="001A06F2">
        <w:t xml:space="preserve">. </w:t>
      </w:r>
      <w:r w:rsidR="00E9535F">
        <w:t xml:space="preserve">Exhibited is the Notice of Appeal. </w:t>
      </w:r>
      <w:r w:rsidR="00C27D74" w:rsidRPr="007324EE">
        <w:t xml:space="preserve">I note that the appeal </w:t>
      </w:r>
      <w:r w:rsidR="007324EE" w:rsidRPr="007324EE">
        <w:t>was</w:t>
      </w:r>
      <w:r w:rsidR="00C27D74" w:rsidRPr="007324EE">
        <w:t xml:space="preserve"> dismissed</w:t>
      </w:r>
      <w:r w:rsidR="007324EE" w:rsidRPr="007324EE">
        <w:t xml:space="preserve"> by the Court of Appeal in </w:t>
      </w:r>
      <w:r w:rsidR="007324EE" w:rsidRPr="007324EE">
        <w:rPr>
          <w:i/>
        </w:rPr>
        <w:t>Vijay Construction (Proprietary) Ltd v Eastern European Engineering Limited &amp; Anor</w:t>
      </w:r>
      <w:r w:rsidR="007324EE" w:rsidRPr="007324EE">
        <w:t xml:space="preserve"> (SCA CL 07/2020) [2021] SCCA</w:t>
      </w:r>
      <w:r w:rsidR="007324EE">
        <w:t xml:space="preserve"> 30 (13 August 2021).</w:t>
      </w:r>
    </w:p>
    <w:p w:rsidR="00C27D74" w:rsidRDefault="00E9535F" w:rsidP="00C27D74">
      <w:pPr>
        <w:pStyle w:val="JudgmentText"/>
      </w:pPr>
      <w:r>
        <w:t>In regards to his statement in his affidavit verifying VIJAY’s winding-up Petition that VIJAY is unable to pay its debts, he states that he</w:t>
      </w:r>
      <w:r w:rsidR="001A06F2">
        <w:t xml:space="preserve"> believe</w:t>
      </w:r>
      <w:r>
        <w:t>s</w:t>
      </w:r>
      <w:r w:rsidR="001A06F2">
        <w:t xml:space="preserve"> that the statement </w:t>
      </w:r>
      <w:r w:rsidR="00C27D74">
        <w:t>is correct and that due to</w:t>
      </w:r>
      <w:r w:rsidR="001A06F2">
        <w:t xml:space="preserve"> the Court of Appeal Judgment, the debts of </w:t>
      </w:r>
      <w:r w:rsidR="00C27D74">
        <w:t xml:space="preserve">VIJAY </w:t>
      </w:r>
      <w:r w:rsidR="001A06F2">
        <w:t xml:space="preserve">were greater than its assets, rendering the company insolvent. </w:t>
      </w:r>
    </w:p>
    <w:p w:rsidR="002C0FB1" w:rsidRDefault="00C27D74" w:rsidP="002C0FB1">
      <w:pPr>
        <w:pStyle w:val="JudgmentText"/>
      </w:pPr>
      <w:r>
        <w:t xml:space="preserve">He accepts </w:t>
      </w:r>
      <w:r w:rsidR="00C207E3">
        <w:t>V</w:t>
      </w:r>
      <w:r w:rsidR="002C0FB1">
        <w:t>Z</w:t>
      </w:r>
      <w:r w:rsidR="00C207E3">
        <w:t>’s</w:t>
      </w:r>
      <w:r w:rsidR="002C0FB1">
        <w:t xml:space="preserve"> </w:t>
      </w:r>
      <w:r>
        <w:t xml:space="preserve">averments regarding the incorporation of VIJAY2 and the timing thereof in relation to the </w:t>
      </w:r>
      <w:r w:rsidR="002C0FB1">
        <w:t>Court of Appeal judgment in SCA18/2017 dated 12</w:t>
      </w:r>
      <w:r w:rsidR="002C0FB1" w:rsidRPr="002C0FB1">
        <w:rPr>
          <w:vertAlign w:val="superscript"/>
        </w:rPr>
        <w:t xml:space="preserve"> </w:t>
      </w:r>
      <w:r w:rsidR="002C0FB1">
        <w:t>December 2017, and avers that</w:t>
      </w:r>
      <w:r w:rsidR="001A06F2">
        <w:t xml:space="preserve"> V</w:t>
      </w:r>
      <w:r w:rsidR="002C0FB1">
        <w:t xml:space="preserve">IJAY2 </w:t>
      </w:r>
      <w:r w:rsidR="001A06F2">
        <w:t>was incorporated in case V</w:t>
      </w:r>
      <w:r w:rsidR="002C0FB1">
        <w:t>IJAY</w:t>
      </w:r>
      <w:r w:rsidR="001A06F2">
        <w:t xml:space="preserve"> was forced to go into liquidation in order to allow the directors to continue to carry out their calling as construction contractors. </w:t>
      </w:r>
    </w:p>
    <w:p w:rsidR="00E32705" w:rsidRDefault="002C0FB1" w:rsidP="001C5B5D">
      <w:pPr>
        <w:pStyle w:val="JudgmentText"/>
      </w:pPr>
      <w:r>
        <w:t>He denies that even at the time of the</w:t>
      </w:r>
      <w:r w:rsidRPr="002C0FB1">
        <w:t xml:space="preserve"> </w:t>
      </w:r>
      <w:r>
        <w:t>Court of Appeal judgment in SCA18/2017 dated 12</w:t>
      </w:r>
      <w:r w:rsidRPr="002C0FB1">
        <w:rPr>
          <w:vertAlign w:val="superscript"/>
        </w:rPr>
        <w:t xml:space="preserve"> </w:t>
      </w:r>
      <w:r>
        <w:t>December 2017,  the 2</w:t>
      </w:r>
      <w:r w:rsidRPr="002C0FB1">
        <w:rPr>
          <w:vertAlign w:val="superscript"/>
        </w:rPr>
        <w:t>nd -</w:t>
      </w:r>
      <w:r>
        <w:t xml:space="preserve"> 5</w:t>
      </w:r>
      <w:r w:rsidRPr="002C0FB1">
        <w:rPr>
          <w:vertAlign w:val="superscript"/>
        </w:rPr>
        <w:t>th</w:t>
      </w:r>
      <w:r>
        <w:t xml:space="preserve"> respondents had the intention to defraud EEEL and deny it the fruits of the Supreme Court judgment of 21</w:t>
      </w:r>
      <w:r w:rsidRPr="002C0FB1">
        <w:rPr>
          <w:vertAlign w:val="superscript"/>
        </w:rPr>
        <w:t>st</w:t>
      </w:r>
      <w:r>
        <w:t xml:space="preserve"> April 2017 in the event that on appeal the Court of Appeal found in favour of EEEL. He</w:t>
      </w:r>
      <w:r w:rsidR="001C5B5D">
        <w:t xml:space="preserve"> also denies that </w:t>
      </w:r>
      <w:r>
        <w:t>the 2</w:t>
      </w:r>
      <w:r w:rsidRPr="002C0FB1">
        <w:rPr>
          <w:vertAlign w:val="superscript"/>
        </w:rPr>
        <w:t>nd -</w:t>
      </w:r>
      <w:r>
        <w:t xml:space="preserve"> 5</w:t>
      </w:r>
      <w:r w:rsidRPr="002C0FB1">
        <w:rPr>
          <w:vertAlign w:val="superscript"/>
        </w:rPr>
        <w:t>th</w:t>
      </w:r>
      <w:r>
        <w:t xml:space="preserve"> respondents are now putting their plan to defraud EEEL into effect after the Court of Appeal Judgment of </w:t>
      </w:r>
      <w:r w:rsidRPr="002C0FB1">
        <w:rPr>
          <w:bCs/>
        </w:rPr>
        <w:t>2</w:t>
      </w:r>
      <w:r w:rsidRPr="002C0FB1">
        <w:rPr>
          <w:bCs/>
          <w:vertAlign w:val="superscript"/>
        </w:rPr>
        <w:t>nd</w:t>
      </w:r>
      <w:r w:rsidRPr="002C0FB1">
        <w:rPr>
          <w:bCs/>
        </w:rPr>
        <w:t xml:space="preserve"> October 2020 </w:t>
      </w:r>
      <w:r>
        <w:t xml:space="preserve">in favour of the EEEL. </w:t>
      </w:r>
      <w:r w:rsidR="001C5B5D">
        <w:t>He avers that th</w:t>
      </w:r>
      <w:r w:rsidR="001A06F2">
        <w:t>ere was never any intention to defraud any creditors of V</w:t>
      </w:r>
      <w:r w:rsidR="001C5B5D">
        <w:t>IJAY</w:t>
      </w:r>
      <w:r w:rsidR="001A06F2">
        <w:t xml:space="preserve"> by setting up V</w:t>
      </w:r>
      <w:r w:rsidR="001C5B5D">
        <w:t>IJAY2; that t</w:t>
      </w:r>
      <w:r w:rsidR="001A06F2">
        <w:t>he affairs of both companies are separate and have been so kept</w:t>
      </w:r>
      <w:r w:rsidR="001C5B5D">
        <w:t>; that t</w:t>
      </w:r>
      <w:r w:rsidR="001A06F2">
        <w:t xml:space="preserve">he assets of </w:t>
      </w:r>
      <w:r w:rsidR="001C5B5D">
        <w:t xml:space="preserve">VIJAY </w:t>
      </w:r>
      <w:r w:rsidR="001A06F2">
        <w:t>have not changed negatively since the 20</w:t>
      </w:r>
      <w:r w:rsidR="001C5B5D">
        <w:t>17 or the 2020 Court of Appeal j</w:t>
      </w:r>
      <w:r w:rsidR="001A06F2">
        <w:t>udgments</w:t>
      </w:r>
      <w:r w:rsidR="001C5B5D">
        <w:t>; and that i</w:t>
      </w:r>
      <w:r w:rsidR="001A06F2">
        <w:t>f anything</w:t>
      </w:r>
      <w:r w:rsidR="001C5B5D">
        <w:t>,</w:t>
      </w:r>
      <w:r w:rsidR="001A06F2">
        <w:t xml:space="preserve"> they have appreciated through the purchase of new equipment. </w:t>
      </w:r>
    </w:p>
    <w:p w:rsidR="000069A6" w:rsidRDefault="00E32705" w:rsidP="000069A6">
      <w:pPr>
        <w:pStyle w:val="JudgmentText"/>
      </w:pPr>
      <w:r>
        <w:lastRenderedPageBreak/>
        <w:t xml:space="preserve">He also accepts that </w:t>
      </w:r>
      <w:r w:rsidR="000069A6">
        <w:t>VIJAY2 only started to operate after the Supreme Court judgment of 30</w:t>
      </w:r>
      <w:r w:rsidR="000069A6" w:rsidRPr="000069A6">
        <w:rPr>
          <w:vertAlign w:val="superscript"/>
        </w:rPr>
        <w:t>th</w:t>
      </w:r>
      <w:r w:rsidR="000069A6">
        <w:t xml:space="preserve"> June 2020 and the Court of Appeal judgment dated 2</w:t>
      </w:r>
      <w:r w:rsidR="000069A6" w:rsidRPr="000069A6">
        <w:rPr>
          <w:vertAlign w:val="superscript"/>
        </w:rPr>
        <w:t>nd</w:t>
      </w:r>
      <w:r w:rsidR="000069A6">
        <w:t xml:space="preserve"> October 2020 were delivered in favour of EEEL, and only received its license for carrying out construction works on 15</w:t>
      </w:r>
      <w:r w:rsidR="000069A6" w:rsidRPr="000069A6">
        <w:rPr>
          <w:vertAlign w:val="superscript"/>
        </w:rPr>
        <w:t>th</w:t>
      </w:r>
      <w:r w:rsidR="000069A6">
        <w:t xml:space="preserve"> October 2020 - two weeks after the delivery of the Court of Appeal Judgment of 2</w:t>
      </w:r>
      <w:r w:rsidR="000069A6" w:rsidRPr="000069A6">
        <w:rPr>
          <w:vertAlign w:val="superscript"/>
        </w:rPr>
        <w:t>nd</w:t>
      </w:r>
      <w:r w:rsidR="000069A6">
        <w:t xml:space="preserve"> October 2020.</w:t>
      </w:r>
    </w:p>
    <w:p w:rsidR="000069A6" w:rsidRDefault="000069A6" w:rsidP="000069A6">
      <w:pPr>
        <w:pStyle w:val="JudgmentText"/>
      </w:pPr>
      <w:r>
        <w:t xml:space="preserve">He denies that the fact that </w:t>
      </w:r>
      <w:r w:rsidR="00E171A2">
        <w:t xml:space="preserve">VIJAY and VIJAY2 have the same </w:t>
      </w:r>
      <w:r>
        <w:t>shareholders and directors</w:t>
      </w:r>
      <w:r w:rsidR="00E171A2">
        <w:t xml:space="preserve"> and that the names of the companies are almost identical</w:t>
      </w:r>
      <w:r>
        <w:t xml:space="preserve"> is misleading, creates confusion and gives the impression to construction market participants </w:t>
      </w:r>
      <w:r w:rsidR="00E171A2">
        <w:t xml:space="preserve">when dealing with VIJAY2 </w:t>
      </w:r>
      <w:r>
        <w:t>that they are dealing with the VIJAY</w:t>
      </w:r>
      <w:r w:rsidR="00E171A2">
        <w:t>, and reiterates that VIJAY2 was incorporated to allow its directors to continue to carry out their calling as construction contractors</w:t>
      </w:r>
      <w:r w:rsidR="00E171A2" w:rsidRPr="00E171A2">
        <w:t xml:space="preserve"> </w:t>
      </w:r>
      <w:r w:rsidR="00E171A2">
        <w:t>in the event that VIJAY was forced to go into liquidation.</w:t>
      </w:r>
    </w:p>
    <w:p w:rsidR="00952BF0" w:rsidRDefault="00C207E3" w:rsidP="005C718A">
      <w:pPr>
        <w:pStyle w:val="JudgmentText"/>
      </w:pPr>
      <w:r>
        <w:t>VJP</w:t>
      </w:r>
      <w:r w:rsidR="00E171A2">
        <w:t xml:space="preserve"> also denies that his statement in the Winding-Up Petition regarding the inability to pay VIJAY’s debts and having to cease operations on all project sites where VIJAY was undertaking projects prior to 30</w:t>
      </w:r>
      <w:r w:rsidR="00E171A2" w:rsidRPr="00E171A2">
        <w:rPr>
          <w:vertAlign w:val="superscript"/>
        </w:rPr>
        <w:t>th</w:t>
      </w:r>
      <w:r w:rsidR="00E171A2">
        <w:t xml:space="preserve"> June 2020 and 2</w:t>
      </w:r>
      <w:r w:rsidR="00E171A2" w:rsidRPr="00E171A2">
        <w:rPr>
          <w:vertAlign w:val="superscript"/>
        </w:rPr>
        <w:t>nd</w:t>
      </w:r>
      <w:r w:rsidR="00E171A2">
        <w:t xml:space="preserve"> October 2020</w:t>
      </w:r>
      <w:r w:rsidR="005C718A">
        <w:t xml:space="preserve"> judgments</w:t>
      </w:r>
      <w:r w:rsidR="00E171A2">
        <w:t xml:space="preserve">, and </w:t>
      </w:r>
      <w:r w:rsidR="005C718A">
        <w:t>that its</w:t>
      </w:r>
      <w:r w:rsidR="007044FD">
        <w:t xml:space="preserve"> </w:t>
      </w:r>
      <w:r w:rsidR="00E171A2">
        <w:t xml:space="preserve">workers </w:t>
      </w:r>
      <w:r w:rsidR="007044FD">
        <w:t>have lost</w:t>
      </w:r>
      <w:r w:rsidR="00E171A2">
        <w:t xml:space="preserve"> their jobs have been exaggerated.</w:t>
      </w:r>
      <w:r w:rsidR="005F610D" w:rsidRPr="005F610D">
        <w:t xml:space="preserve"> </w:t>
      </w:r>
      <w:r w:rsidR="005F610D">
        <w:t xml:space="preserve">He avers all the averments in the Winding-Up Petition were and are correct and true. </w:t>
      </w:r>
      <w:r w:rsidR="00E171A2">
        <w:t xml:space="preserve">He further denies that VIJAY resumed construction works on </w:t>
      </w:r>
      <w:r w:rsidR="005F610D">
        <w:t xml:space="preserve">any </w:t>
      </w:r>
      <w:r w:rsidR="00E171A2">
        <w:t xml:space="preserve">project sites after the filing of the Winding-Up Petition. He </w:t>
      </w:r>
      <w:r w:rsidR="005F610D">
        <w:t xml:space="preserve">also denies that his declarations as to cessation of work are incorrect </w:t>
      </w:r>
      <w:r w:rsidR="005C718A">
        <w:t>and that</w:t>
      </w:r>
      <w:r w:rsidR="00E171A2">
        <w:t xml:space="preserve"> VIJAY’s construction sites are not closed, and its workers and its plant/machinery and equipment are at work and in operation and use</w:t>
      </w:r>
      <w:r w:rsidR="005F610D">
        <w:t xml:space="preserve">. </w:t>
      </w:r>
      <w:r w:rsidR="005C718A">
        <w:t>It avers that a</w:t>
      </w:r>
      <w:r w:rsidR="001A06F2">
        <w:t>ll its ongoing contracts were terminated by the clients</w:t>
      </w:r>
      <w:r w:rsidR="005C718A">
        <w:t>; that t</w:t>
      </w:r>
      <w:r w:rsidR="001A06F2">
        <w:t xml:space="preserve">he workers were legally employed by a new company which has nothing to do with </w:t>
      </w:r>
      <w:r w:rsidR="005C718A">
        <w:t>VIJAY</w:t>
      </w:r>
      <w:r w:rsidR="007044FD">
        <w:t xml:space="preserve">; and that </w:t>
      </w:r>
      <w:r w:rsidR="001A06F2">
        <w:t xml:space="preserve">the equipment on sites were retained by the clients in accordance with the provisions of the construction contracts in order to complete the works. </w:t>
      </w:r>
      <w:r w:rsidR="007044FD">
        <w:t>He states that o</w:t>
      </w:r>
      <w:r w:rsidR="001A06F2">
        <w:t xml:space="preserve">nly one of the ongoing contracts which had been terminated were awarded to </w:t>
      </w:r>
      <w:r w:rsidR="007044FD">
        <w:t>VIJAY2</w:t>
      </w:r>
      <w:r w:rsidR="001A06F2">
        <w:t xml:space="preserve"> for completion. </w:t>
      </w:r>
      <w:r w:rsidR="007044FD">
        <w:t>In regards to that contract, VIJAY2</w:t>
      </w:r>
      <w:r w:rsidR="001A06F2">
        <w:t xml:space="preserve"> applied to the Government to employ some of </w:t>
      </w:r>
      <w:r w:rsidR="007044FD">
        <w:t>VIJAY’s</w:t>
      </w:r>
      <w:r w:rsidR="001A06F2">
        <w:t xml:space="preserve"> </w:t>
      </w:r>
      <w:r w:rsidR="007044FD">
        <w:t xml:space="preserve">workers </w:t>
      </w:r>
      <w:r w:rsidR="001A06F2">
        <w:t xml:space="preserve">and took over about 200 of the complement of approximately 1600 workers previously employed by </w:t>
      </w:r>
      <w:r w:rsidR="007044FD">
        <w:t>VIJAY.</w:t>
      </w:r>
    </w:p>
    <w:p w:rsidR="00952BF0" w:rsidRDefault="00C207E3" w:rsidP="00952BF0">
      <w:pPr>
        <w:pStyle w:val="JudgmentText"/>
      </w:pPr>
      <w:r>
        <w:lastRenderedPageBreak/>
        <w:t>VJP</w:t>
      </w:r>
      <w:r w:rsidR="00952BF0">
        <w:t xml:space="preserve"> further avers that th</w:t>
      </w:r>
      <w:r w:rsidR="001A06F2">
        <w:t xml:space="preserve">ere has been no transfer of any assets, plant or equipment of </w:t>
      </w:r>
      <w:r w:rsidR="00952BF0">
        <w:t xml:space="preserve">VIJAY </w:t>
      </w:r>
      <w:r w:rsidR="001A06F2">
        <w:t xml:space="preserve">to </w:t>
      </w:r>
      <w:r w:rsidR="00952BF0">
        <w:t>VIJAY2</w:t>
      </w:r>
      <w:r w:rsidR="001A06F2">
        <w:t xml:space="preserve">. </w:t>
      </w:r>
      <w:r w:rsidR="00952BF0">
        <w:t>He states that t</w:t>
      </w:r>
      <w:r w:rsidR="001A06F2">
        <w:t xml:space="preserve">o the extent that any equipment of </w:t>
      </w:r>
      <w:r w:rsidR="00952BF0">
        <w:t xml:space="preserve">VIJAY </w:t>
      </w:r>
      <w:r w:rsidR="001A06F2">
        <w:t>is used by</w:t>
      </w:r>
      <w:r w:rsidR="00952BF0">
        <w:t xml:space="preserve"> VIJAY2,</w:t>
      </w:r>
      <w:r w:rsidR="001A06F2">
        <w:t xml:space="preserve"> this is in order to keep it operational and is accounted for to </w:t>
      </w:r>
      <w:r w:rsidR="00952BF0">
        <w:t>VIJAY</w:t>
      </w:r>
    </w:p>
    <w:p w:rsidR="00240A40" w:rsidRDefault="00C207E3" w:rsidP="00240A40">
      <w:pPr>
        <w:pStyle w:val="JudgmentText"/>
      </w:pPr>
      <w:r>
        <w:t>VZ</w:t>
      </w:r>
      <w:r w:rsidR="00952BF0">
        <w:t>’s averments at paragraph 25 of his affidavit regarding matters which he claims are evidence of the bad faith of the 2</w:t>
      </w:r>
      <w:r w:rsidR="00952BF0" w:rsidRPr="00952BF0">
        <w:rPr>
          <w:vertAlign w:val="superscript"/>
        </w:rPr>
        <w:t>nd</w:t>
      </w:r>
      <w:r w:rsidR="00240A40">
        <w:rPr>
          <w:vertAlign w:val="superscript"/>
        </w:rPr>
        <w:t xml:space="preserve"> -</w:t>
      </w:r>
      <w:r w:rsidR="00952BF0">
        <w:t xml:space="preserve"> 5</w:t>
      </w:r>
      <w:r w:rsidR="00952BF0" w:rsidRPr="00952BF0">
        <w:rPr>
          <w:vertAlign w:val="superscript"/>
        </w:rPr>
        <w:t>th</w:t>
      </w:r>
      <w:r w:rsidR="00952BF0">
        <w:t xml:space="preserve"> respon</w:t>
      </w:r>
      <w:r w:rsidR="00240A40">
        <w:t>d</w:t>
      </w:r>
      <w:r w:rsidR="00952BF0">
        <w:t xml:space="preserve">ents </w:t>
      </w:r>
      <w:r w:rsidR="00240A40">
        <w:t xml:space="preserve">are also denied. In that regard </w:t>
      </w:r>
      <w:r>
        <w:t>VJP</w:t>
      </w:r>
      <w:r w:rsidR="00240A40">
        <w:t xml:space="preserve"> avers that </w:t>
      </w:r>
      <w:r w:rsidR="001A06F2">
        <w:t xml:space="preserve">none of these statements and allegations amounts to contempt and each has been the subjects of prior cases which have dealt with </w:t>
      </w:r>
      <w:r w:rsidR="00240A40">
        <w:t>them</w:t>
      </w:r>
      <w:r w:rsidR="001A06F2">
        <w:t xml:space="preserve">. </w:t>
      </w:r>
      <w:r w:rsidR="00240A40">
        <w:t xml:space="preserve">He states that he is advised that proceedings for contempt should have been brought </w:t>
      </w:r>
      <w:r w:rsidR="001A06F2">
        <w:t xml:space="preserve">in the several cases dealing with each of these matters and not in a generic application such as </w:t>
      </w:r>
      <w:r w:rsidR="00240A40">
        <w:t>the present one.</w:t>
      </w:r>
    </w:p>
    <w:p w:rsidR="00F656BB" w:rsidRDefault="00240A40" w:rsidP="00F656BB">
      <w:pPr>
        <w:pStyle w:val="JudgmentText"/>
      </w:pPr>
      <w:r>
        <w:t xml:space="preserve">He avers that the </w:t>
      </w:r>
      <w:r w:rsidR="001A06F2">
        <w:t xml:space="preserve">filing </w:t>
      </w:r>
      <w:r>
        <w:t xml:space="preserve">of </w:t>
      </w:r>
      <w:r w:rsidR="001A06F2">
        <w:t xml:space="preserve">cases </w:t>
      </w:r>
      <w:r>
        <w:t xml:space="preserve">before the Constitutional Court and the Court of Appeal by VIJAY </w:t>
      </w:r>
      <w:r w:rsidR="001A06F2">
        <w:t xml:space="preserve">even if they </w:t>
      </w:r>
      <w:r>
        <w:t xml:space="preserve">are </w:t>
      </w:r>
      <w:r w:rsidR="001A06F2">
        <w:t xml:space="preserve">called frivolous, does not amount to a contempt of Court. </w:t>
      </w:r>
      <w:r>
        <w:t xml:space="preserve">Further that they </w:t>
      </w:r>
      <w:r w:rsidR="001A06F2">
        <w:t>were all filed with a single motive</w:t>
      </w:r>
      <w:r>
        <w:t xml:space="preserve"> </w:t>
      </w:r>
      <w:r w:rsidR="001A06F2">
        <w:t xml:space="preserve">- to avail of the procedures permitted by law to set aside proceedings on an award and judgments delivered thereon which the Respondents felt, and were advised, were wrong, unfair and unjust. </w:t>
      </w:r>
      <w:r w:rsidR="00F656BB">
        <w:t xml:space="preserve">He denies that they were filed for wrongful motives and constitute an abuse of right to sue for valid and probable cause. </w:t>
      </w:r>
    </w:p>
    <w:p w:rsidR="00F656BB" w:rsidRDefault="00F656BB" w:rsidP="00F656BB">
      <w:pPr>
        <w:pStyle w:val="JudgmentText"/>
      </w:pPr>
      <w:r>
        <w:t>He further denies that the 2</w:t>
      </w:r>
      <w:r w:rsidRPr="00F656BB">
        <w:rPr>
          <w:vertAlign w:val="superscript"/>
        </w:rPr>
        <w:t xml:space="preserve">nd - </w:t>
      </w:r>
      <w:r>
        <w:t>5</w:t>
      </w:r>
      <w:r w:rsidRPr="00F656BB">
        <w:rPr>
          <w:vertAlign w:val="superscript"/>
        </w:rPr>
        <w:t>th</w:t>
      </w:r>
      <w:r>
        <w:t xml:space="preserve"> respondents have misled and/or given misleading information and evidence to the Court and acted in contempt of this Court, or that  that they should not be held personally liable therefor, and that this Court should make a finding to that effect and punish them contempt.</w:t>
      </w:r>
    </w:p>
    <w:p w:rsidR="007324EE" w:rsidRDefault="007324EE" w:rsidP="007324EE">
      <w:pPr>
        <w:pStyle w:val="Jjmntheading1"/>
      </w:pPr>
      <w:r>
        <w:t>Submissions</w:t>
      </w:r>
    </w:p>
    <w:p w:rsidR="00F656BB" w:rsidRDefault="007324EE" w:rsidP="00F656BB">
      <w:pPr>
        <w:pStyle w:val="JudgmentText"/>
      </w:pPr>
      <w:r>
        <w:t>Both parties filed submissions both on the points of law raised by Vijay and on the merits of the motion. I have carefully considered both submissions and will refer to them as appropriate in the analysis below.</w:t>
      </w:r>
    </w:p>
    <w:p w:rsidR="007324EE" w:rsidRDefault="007324EE" w:rsidP="007324EE">
      <w:pPr>
        <w:pStyle w:val="Jjmntheading1"/>
      </w:pPr>
      <w:r>
        <w:t>Analysis</w:t>
      </w:r>
    </w:p>
    <w:p w:rsidR="00EB54EB" w:rsidRDefault="00EB54EB" w:rsidP="00EB54EB">
      <w:pPr>
        <w:pStyle w:val="JudgmentText"/>
      </w:pPr>
      <w:r>
        <w:t xml:space="preserve">Counsels for both parties have cited the case of </w:t>
      </w:r>
      <w:proofErr w:type="spellStart"/>
      <w:r w:rsidRPr="00403E61">
        <w:rPr>
          <w:i/>
        </w:rPr>
        <w:t>Ramkalawan</w:t>
      </w:r>
      <w:proofErr w:type="spellEnd"/>
      <w:r w:rsidRPr="00403E61">
        <w:rPr>
          <w:i/>
        </w:rPr>
        <w:t xml:space="preserve"> v Anor v </w:t>
      </w:r>
      <w:proofErr w:type="spellStart"/>
      <w:r w:rsidRPr="00403E61">
        <w:rPr>
          <w:i/>
        </w:rPr>
        <w:t>Nibourette</w:t>
      </w:r>
      <w:proofErr w:type="spellEnd"/>
      <w:r>
        <w:t xml:space="preserve"> MA178/2017 [2018] SCSC618 (28 June 2018) regarding the jurisdiction of this Court and the applicable law in contempt proceedings. In that case Twomey, the CJ stated -</w:t>
      </w:r>
    </w:p>
    <w:p w:rsidR="00EB54EB" w:rsidRPr="00EB54EB" w:rsidRDefault="00EB54EB" w:rsidP="00AB6228">
      <w:pPr>
        <w:pStyle w:val="NumberedQuotationindent1"/>
        <w:numPr>
          <w:ilvl w:val="0"/>
          <w:numId w:val="7"/>
        </w:numPr>
        <w:rPr>
          <w:rFonts w:ascii="Arial" w:hAnsi="Arial" w:cs="Arial"/>
          <w:sz w:val="21"/>
          <w:szCs w:val="21"/>
        </w:rPr>
      </w:pPr>
      <w:r w:rsidRPr="00EB54EB">
        <w:lastRenderedPageBreak/>
        <w:t>There are no statutory provisions with respect to contempt in the laws of Seychelles. Contempt procedures and remedies are received from England. Section 4 of the Courts Act (Cap 52) with regard to the jurisdiction and powers of the Supreme Court provides that</w:t>
      </w:r>
    </w:p>
    <w:p w:rsidR="00EB54EB" w:rsidRPr="00EB54EB" w:rsidRDefault="00EB54EB" w:rsidP="00EB54EB">
      <w:pPr>
        <w:pStyle w:val="NumberedQuotationindent1"/>
        <w:numPr>
          <w:ilvl w:val="0"/>
          <w:numId w:val="0"/>
        </w:numPr>
        <w:ind w:left="1440"/>
        <w:rPr>
          <w:rFonts w:ascii="Arial" w:hAnsi="Arial" w:cs="Arial"/>
          <w:sz w:val="21"/>
          <w:szCs w:val="21"/>
        </w:rPr>
      </w:pPr>
    </w:p>
    <w:p w:rsidR="00EB54EB" w:rsidRPr="00EB54EB" w:rsidRDefault="00EB54EB" w:rsidP="00EB54EB">
      <w:pPr>
        <w:pStyle w:val="NumberedQuotationindent1"/>
        <w:numPr>
          <w:ilvl w:val="0"/>
          <w:numId w:val="0"/>
        </w:numPr>
        <w:ind w:left="1800"/>
        <w:rPr>
          <w:iCs/>
        </w:rPr>
      </w:pPr>
      <w:r w:rsidRPr="00EB54EB">
        <w:rPr>
          <w:iCs/>
        </w:rPr>
        <w:t>“The Supreme Court shall be a Superior Court of Record and, in addition to any other jurisdiction conferred by this Act or any other law, shall have and may exercise the powers, authorities and jurisdiction possessed and exercised by the High Court of Justice in England”.</w:t>
      </w:r>
    </w:p>
    <w:p w:rsidR="00EB54EB" w:rsidRPr="00EB54EB" w:rsidRDefault="00EB54EB" w:rsidP="00EB54EB">
      <w:pPr>
        <w:pStyle w:val="NumberedQuotationindent1"/>
        <w:numPr>
          <w:ilvl w:val="0"/>
          <w:numId w:val="0"/>
        </w:numPr>
        <w:ind w:left="1800"/>
        <w:rPr>
          <w:rFonts w:ascii="Arial" w:hAnsi="Arial" w:cs="Arial"/>
          <w:sz w:val="21"/>
          <w:szCs w:val="21"/>
        </w:rPr>
      </w:pPr>
    </w:p>
    <w:p w:rsidR="00EB54EB" w:rsidRPr="00EB54EB" w:rsidRDefault="00EB54EB" w:rsidP="00AB6228">
      <w:pPr>
        <w:pStyle w:val="NumberedQuotationindent1"/>
        <w:numPr>
          <w:ilvl w:val="0"/>
          <w:numId w:val="7"/>
        </w:numPr>
        <w:rPr>
          <w:rFonts w:ascii="Arial" w:hAnsi="Arial" w:cs="Arial"/>
          <w:sz w:val="21"/>
          <w:szCs w:val="21"/>
        </w:rPr>
      </w:pPr>
      <w:r w:rsidRPr="00EB54EB">
        <w:t xml:space="preserve"> It is settled law that this provision has imported into the laws of Seychelles the common law of England. In this respect the courts of Seychelles </w:t>
      </w:r>
      <w:proofErr w:type="spellStart"/>
      <w:r w:rsidRPr="00EB54EB">
        <w:t>recognise</w:t>
      </w:r>
      <w:proofErr w:type="spellEnd"/>
      <w:r w:rsidRPr="00EB54EB">
        <w:t xml:space="preserve"> and maintain the common law concept of contempt of court. As a court of record, it has an inherent power to punish for contempt, whether criminal or civil and as it has been said: “A court without contempt power is not a court” (Lawrence N. Gray, Criminal and Civil Contempt: Some Sense of a Hodgepodge, 72 ST. JOHN’S L. REV. 337, 342 (1998) and the power of contempt “is inherent in courts, and automatically exists by its very nature” (Ronald Goldfarb, The History of the Contempt Power, 1 WASH. U. L. Q. 1, 2 (1961).</w:t>
      </w:r>
    </w:p>
    <w:p w:rsidR="00EB54EB" w:rsidRPr="00EB54EB" w:rsidRDefault="00EB54EB" w:rsidP="00EB54EB">
      <w:pPr>
        <w:pStyle w:val="NumberedQuotationindent1"/>
        <w:numPr>
          <w:ilvl w:val="0"/>
          <w:numId w:val="0"/>
        </w:numPr>
        <w:ind w:left="1440"/>
        <w:rPr>
          <w:rFonts w:ascii="Arial" w:hAnsi="Arial" w:cs="Arial"/>
          <w:sz w:val="21"/>
          <w:szCs w:val="21"/>
        </w:rPr>
      </w:pPr>
    </w:p>
    <w:p w:rsidR="00EB54EB" w:rsidRPr="00EB54EB" w:rsidRDefault="00EB54EB" w:rsidP="00AB6228">
      <w:pPr>
        <w:pStyle w:val="JudgmentText"/>
      </w:pPr>
      <w:r w:rsidRPr="00EB54EB">
        <w:t>She goes on to explain the purpose of contempt proceedings</w:t>
      </w:r>
      <w:r w:rsidR="00AC610E">
        <w:t xml:space="preserve"> in light of the term “contempt of court” as follows</w:t>
      </w:r>
      <w:r w:rsidRPr="00EB54EB">
        <w:t xml:space="preserve"> -</w:t>
      </w:r>
    </w:p>
    <w:p w:rsidR="00EB54EB" w:rsidRPr="00EB54EB" w:rsidRDefault="00EB54EB" w:rsidP="00AB6228">
      <w:pPr>
        <w:pStyle w:val="NumberedQuotationindent1"/>
        <w:numPr>
          <w:ilvl w:val="3"/>
          <w:numId w:val="8"/>
        </w:numPr>
        <w:ind w:left="1440" w:hanging="360"/>
        <w:rPr>
          <w:rFonts w:ascii="Arial" w:hAnsi="Arial" w:cs="Arial"/>
          <w:sz w:val="21"/>
          <w:szCs w:val="21"/>
        </w:rPr>
      </w:pPr>
      <w:r w:rsidRPr="00EB54EB">
        <w:rPr>
          <w:rFonts w:eastAsia="Times New Roman"/>
        </w:rPr>
        <w:t>Indeed, the term contempt of court is a misnomer (see </w:t>
      </w:r>
      <w:r w:rsidRPr="00EB54EB">
        <w:rPr>
          <w:rFonts w:eastAsia="Times New Roman"/>
          <w:iCs/>
        </w:rPr>
        <w:t>Attorney General v BBC</w:t>
      </w:r>
      <w:r w:rsidRPr="00EB54EB">
        <w:rPr>
          <w:rFonts w:eastAsia="Times New Roman"/>
        </w:rPr>
        <w:t> (1981) AC 303, 362) and poorly explains the purpose of such proceedings. In </w:t>
      </w:r>
      <w:r w:rsidRPr="00EB54EB">
        <w:rPr>
          <w:rFonts w:eastAsia="Times New Roman"/>
          <w:iCs/>
        </w:rPr>
        <w:t>Morris v Crown Office</w:t>
      </w:r>
      <w:r w:rsidRPr="00EB54EB">
        <w:rPr>
          <w:rFonts w:eastAsia="Times New Roman"/>
        </w:rPr>
        <w:t> [1970]1 All ER 1079 at 1087, [1970]2 QB 114 at 129, Salmon J explained the objects of contempt proceedings thus:</w:t>
      </w:r>
    </w:p>
    <w:p w:rsidR="00EB54EB" w:rsidRPr="00EB54EB" w:rsidRDefault="00EB54EB" w:rsidP="00EB54EB">
      <w:pPr>
        <w:pStyle w:val="NumberedQuotationindent1"/>
        <w:numPr>
          <w:ilvl w:val="0"/>
          <w:numId w:val="0"/>
        </w:numPr>
        <w:ind w:left="1440"/>
        <w:rPr>
          <w:rFonts w:ascii="Arial" w:hAnsi="Arial" w:cs="Arial"/>
          <w:sz w:val="21"/>
          <w:szCs w:val="21"/>
        </w:rPr>
      </w:pPr>
    </w:p>
    <w:p w:rsidR="00EB54EB" w:rsidRPr="00EB54EB" w:rsidRDefault="00EB54EB" w:rsidP="00EB54EB">
      <w:pPr>
        <w:pStyle w:val="JudgmentText"/>
        <w:numPr>
          <w:ilvl w:val="0"/>
          <w:numId w:val="0"/>
        </w:numPr>
        <w:shd w:val="clear" w:color="auto" w:fill="FFFFFF"/>
        <w:spacing w:line="300" w:lineRule="atLeast"/>
        <w:ind w:left="1800"/>
        <w:rPr>
          <w:rFonts w:ascii="Arial" w:hAnsi="Arial" w:cs="Arial"/>
          <w:sz w:val="21"/>
          <w:szCs w:val="21"/>
        </w:rPr>
      </w:pPr>
      <w:r w:rsidRPr="00EB54EB">
        <w:rPr>
          <w:i/>
          <w:iCs/>
        </w:rPr>
        <w:t>“The sole purpose of proceedings for contempt is to give our courts the power effectively to protect the rights of the public by ensuring that the administration of justice shall not be obstructed or prevented.”</w:t>
      </w:r>
    </w:p>
    <w:p w:rsidR="00EB54EB" w:rsidRPr="00EB54EB" w:rsidRDefault="00EB54EB" w:rsidP="00EB54EB">
      <w:pPr>
        <w:pStyle w:val="NumberedQuotationindent1"/>
        <w:numPr>
          <w:ilvl w:val="0"/>
          <w:numId w:val="0"/>
        </w:numPr>
        <w:ind w:left="1440"/>
        <w:rPr>
          <w:rFonts w:eastAsia="Times New Roman"/>
        </w:rPr>
      </w:pPr>
    </w:p>
    <w:p w:rsidR="00EB54EB" w:rsidRPr="00EB54EB" w:rsidRDefault="00EB54EB" w:rsidP="00AB6228">
      <w:pPr>
        <w:pStyle w:val="NumberedQuotationindent1"/>
        <w:numPr>
          <w:ilvl w:val="3"/>
          <w:numId w:val="8"/>
        </w:numPr>
        <w:ind w:left="1440" w:hanging="360"/>
        <w:rPr>
          <w:rFonts w:ascii="Arial" w:hAnsi="Arial" w:cs="Arial"/>
          <w:sz w:val="21"/>
          <w:szCs w:val="21"/>
        </w:rPr>
      </w:pPr>
      <w:r w:rsidRPr="00EB54EB">
        <w:rPr>
          <w:rFonts w:eastAsia="Times New Roman"/>
        </w:rPr>
        <w:t>In </w:t>
      </w:r>
      <w:r w:rsidRPr="00EB54EB">
        <w:rPr>
          <w:rFonts w:eastAsia="Times New Roman"/>
          <w:iCs/>
        </w:rPr>
        <w:t>Mancienne v Government of Seychelles</w:t>
      </w:r>
      <w:r w:rsidRPr="00EB54EB">
        <w:rPr>
          <w:rFonts w:eastAsia="Times New Roman"/>
        </w:rPr>
        <w:t xml:space="preserve"> (2004-2005) SCAR 161, the Court of Appeal citing Lord </w:t>
      </w:r>
      <w:proofErr w:type="spellStart"/>
      <w:r w:rsidRPr="00EB54EB">
        <w:rPr>
          <w:rFonts w:eastAsia="Times New Roman"/>
        </w:rPr>
        <w:t>Ackner</w:t>
      </w:r>
      <w:proofErr w:type="spellEnd"/>
      <w:r w:rsidRPr="00EB54EB">
        <w:rPr>
          <w:rFonts w:eastAsia="Times New Roman"/>
        </w:rPr>
        <w:t xml:space="preserve"> </w:t>
      </w:r>
      <w:proofErr w:type="spellStart"/>
      <w:r w:rsidRPr="00EB54EB">
        <w:rPr>
          <w:rFonts w:eastAsia="Times New Roman"/>
        </w:rPr>
        <w:t>in</w:t>
      </w:r>
      <w:r w:rsidRPr="00EB54EB">
        <w:rPr>
          <w:rFonts w:eastAsia="Times New Roman"/>
          <w:iCs/>
        </w:rPr>
        <w:t>Attorney</w:t>
      </w:r>
      <w:proofErr w:type="spellEnd"/>
      <w:r w:rsidRPr="00EB54EB">
        <w:rPr>
          <w:rFonts w:eastAsia="Times New Roman"/>
          <w:iCs/>
        </w:rPr>
        <w:t xml:space="preserve"> General v Times Newspapers Ltd and another</w:t>
      </w:r>
      <w:r w:rsidRPr="00EB54EB">
        <w:rPr>
          <w:rFonts w:eastAsia="Times New Roman"/>
        </w:rPr>
        <w:t> [1991]2 All ER 398 (HL) and Bowen LJ in </w:t>
      </w:r>
      <w:r w:rsidRPr="00EB54EB">
        <w:rPr>
          <w:rFonts w:eastAsia="Times New Roman"/>
          <w:iCs/>
        </w:rPr>
        <w:t>Re Johnson</w:t>
      </w:r>
      <w:r w:rsidRPr="00EB54EB">
        <w:rPr>
          <w:rFonts w:eastAsia="Times New Roman"/>
        </w:rPr>
        <w:t> (1888) 20 QBD 68 explained that the term was “inaccurate and misleading, suggesting in some contexts that it exists to protect the dignity of the judges.” It also cited Bowen LJ in</w:t>
      </w:r>
      <w:r w:rsidRPr="00EB54EB">
        <w:rPr>
          <w:rFonts w:eastAsia="Times New Roman"/>
          <w:iCs/>
        </w:rPr>
        <w:t> Johnson v Grant</w:t>
      </w:r>
      <w:r w:rsidRPr="00EB54EB">
        <w:rPr>
          <w:rFonts w:eastAsia="Times New Roman"/>
        </w:rPr>
        <w:t> 1923 SC 789, 790 who stated that : </w:t>
      </w:r>
    </w:p>
    <w:p w:rsidR="00EB54EB" w:rsidRPr="00EB54EB" w:rsidRDefault="00EB54EB" w:rsidP="00EB54EB">
      <w:pPr>
        <w:pStyle w:val="NumberedQuotationindent1"/>
        <w:numPr>
          <w:ilvl w:val="0"/>
          <w:numId w:val="0"/>
        </w:numPr>
        <w:ind w:left="1440"/>
        <w:rPr>
          <w:rFonts w:ascii="Arial" w:hAnsi="Arial" w:cs="Arial"/>
          <w:sz w:val="21"/>
          <w:szCs w:val="21"/>
        </w:rPr>
      </w:pPr>
    </w:p>
    <w:p w:rsidR="00EB54EB" w:rsidRPr="00EB54EB" w:rsidRDefault="00EB54EB" w:rsidP="00EB54EB">
      <w:pPr>
        <w:pStyle w:val="JudgmentText"/>
        <w:numPr>
          <w:ilvl w:val="0"/>
          <w:numId w:val="0"/>
        </w:numPr>
        <w:shd w:val="clear" w:color="auto" w:fill="FFFFFF"/>
        <w:spacing w:line="300" w:lineRule="atLeast"/>
        <w:ind w:left="1800"/>
        <w:rPr>
          <w:rFonts w:ascii="Arial" w:hAnsi="Arial" w:cs="Arial"/>
          <w:sz w:val="21"/>
          <w:szCs w:val="21"/>
        </w:rPr>
      </w:pPr>
      <w:r w:rsidRPr="00EB54EB">
        <w:rPr>
          <w:i/>
          <w:iCs/>
        </w:rPr>
        <w:lastRenderedPageBreak/>
        <w:t>“The phrase “Contempt of Court” does not in the least describe the true nature of the class of offence with which we are here concerned … The offence consists in interfering with the administration of the law; in impeding and preventing the course of justice … It is not the dignity of the Court which is offended – a petty and misleading view of the issues involved – it is the fundamental supremacy of the law which is challenged.’</w:t>
      </w:r>
    </w:p>
    <w:p w:rsidR="00EB54EB" w:rsidRPr="00EB54EB" w:rsidRDefault="00EB54EB" w:rsidP="00EB54EB">
      <w:pPr>
        <w:pStyle w:val="JudgmentText"/>
      </w:pPr>
      <w:r w:rsidRPr="00EB54EB">
        <w:t>Twomey then CJ, then proceeds to make a distinction between civil and criminal contempt as follows –</w:t>
      </w:r>
    </w:p>
    <w:p w:rsidR="00EB54EB" w:rsidRPr="00EB54EB" w:rsidRDefault="00EB54EB" w:rsidP="00AB6228">
      <w:pPr>
        <w:numPr>
          <w:ilvl w:val="0"/>
          <w:numId w:val="9"/>
        </w:numPr>
        <w:shd w:val="clear" w:color="auto" w:fill="FFFFFF"/>
        <w:spacing w:before="100" w:beforeAutospacing="1" w:after="240" w:line="300" w:lineRule="atLeast"/>
        <w:ind w:left="975"/>
        <w:jc w:val="both"/>
        <w:rPr>
          <w:rFonts w:ascii="Arial" w:eastAsia="Times New Roman" w:hAnsi="Arial" w:cs="Arial"/>
          <w:i/>
          <w:sz w:val="24"/>
          <w:szCs w:val="24"/>
        </w:rPr>
      </w:pPr>
      <w:r w:rsidRPr="00EB54EB">
        <w:rPr>
          <w:rFonts w:ascii="Times New Roman" w:eastAsia="Times New Roman" w:hAnsi="Times New Roman" w:cs="Times New Roman"/>
          <w:i/>
          <w:sz w:val="24"/>
          <w:szCs w:val="24"/>
          <w:shd w:val="clear" w:color="auto" w:fill="FFFFFF"/>
          <w:lang w:val="en-GB"/>
        </w:rPr>
        <w:t xml:space="preserve">In general terms, civil </w:t>
      </w:r>
      <w:proofErr w:type="spellStart"/>
      <w:r w:rsidRPr="00EB54EB">
        <w:rPr>
          <w:rFonts w:ascii="Times New Roman" w:eastAsia="Times New Roman" w:hAnsi="Times New Roman" w:cs="Times New Roman"/>
          <w:i/>
          <w:sz w:val="24"/>
          <w:szCs w:val="24"/>
          <w:shd w:val="clear" w:color="auto" w:fill="FFFFFF"/>
          <w:lang w:val="en-GB"/>
        </w:rPr>
        <w:t>contempts</w:t>
      </w:r>
      <w:proofErr w:type="spellEnd"/>
      <w:r w:rsidRPr="00EB54EB">
        <w:rPr>
          <w:rFonts w:ascii="Times New Roman" w:eastAsia="Times New Roman" w:hAnsi="Times New Roman" w:cs="Times New Roman"/>
          <w:i/>
          <w:sz w:val="24"/>
          <w:szCs w:val="24"/>
          <w:shd w:val="clear" w:color="auto" w:fill="FFFFFF"/>
          <w:lang w:val="en-GB"/>
        </w:rPr>
        <w:t xml:space="preserve"> consist in disobedience to judgments and court orders; and criminal </w:t>
      </w:r>
      <w:proofErr w:type="spellStart"/>
      <w:r w:rsidRPr="00EB54EB">
        <w:rPr>
          <w:rFonts w:ascii="Times New Roman" w:eastAsia="Times New Roman" w:hAnsi="Times New Roman" w:cs="Times New Roman"/>
          <w:i/>
          <w:sz w:val="24"/>
          <w:szCs w:val="24"/>
          <w:shd w:val="clear" w:color="auto" w:fill="FFFFFF"/>
          <w:lang w:val="en-GB"/>
        </w:rPr>
        <w:t>contempts</w:t>
      </w:r>
      <w:proofErr w:type="spellEnd"/>
      <w:r w:rsidRPr="00EB54EB">
        <w:rPr>
          <w:rFonts w:ascii="Times New Roman" w:eastAsia="Times New Roman" w:hAnsi="Times New Roman" w:cs="Times New Roman"/>
          <w:i/>
          <w:sz w:val="24"/>
          <w:szCs w:val="24"/>
          <w:shd w:val="clear" w:color="auto" w:fill="FFFFFF"/>
          <w:lang w:val="en-GB"/>
        </w:rPr>
        <w:t xml:space="preserve"> consist in conduct impeding or interfering with the administration of justice or creating a risk of such impediment or interference (see The Green Book-The Civil Court Practice Contempt of Court 2018 Volume 2, Part III).</w:t>
      </w:r>
    </w:p>
    <w:p w:rsidR="00EB54EB" w:rsidRPr="00EB54EB" w:rsidRDefault="00EB54EB" w:rsidP="00AB6228">
      <w:pPr>
        <w:numPr>
          <w:ilvl w:val="0"/>
          <w:numId w:val="9"/>
        </w:numPr>
        <w:shd w:val="clear" w:color="auto" w:fill="FFFFFF"/>
        <w:spacing w:before="100" w:beforeAutospacing="1" w:after="240" w:line="300" w:lineRule="atLeast"/>
        <w:ind w:left="975"/>
        <w:jc w:val="both"/>
        <w:rPr>
          <w:rFonts w:ascii="Arial" w:eastAsia="Times New Roman" w:hAnsi="Arial" w:cs="Arial"/>
          <w:i/>
          <w:sz w:val="24"/>
          <w:szCs w:val="24"/>
        </w:rPr>
      </w:pPr>
      <w:r w:rsidRPr="00EB54EB">
        <w:rPr>
          <w:rFonts w:ascii="Times New Roman" w:eastAsia="Times New Roman" w:hAnsi="Times New Roman" w:cs="Times New Roman"/>
          <w:i/>
          <w:sz w:val="24"/>
          <w:szCs w:val="24"/>
          <w:shd w:val="clear" w:color="auto" w:fill="FFFFFF"/>
          <w:lang w:val="en-GB"/>
        </w:rPr>
        <w:t>In </w:t>
      </w:r>
      <w:r w:rsidRPr="00EB54EB">
        <w:rPr>
          <w:rFonts w:ascii="Times New Roman" w:eastAsia="Times New Roman" w:hAnsi="Times New Roman" w:cs="Times New Roman"/>
          <w:i/>
          <w:iCs/>
          <w:sz w:val="24"/>
          <w:szCs w:val="24"/>
          <w:shd w:val="clear" w:color="auto" w:fill="FFFFFF"/>
          <w:lang w:val="en-GB"/>
        </w:rPr>
        <w:t> </w:t>
      </w:r>
      <w:proofErr w:type="spellStart"/>
      <w:r w:rsidRPr="00EB54EB">
        <w:rPr>
          <w:rFonts w:ascii="Times New Roman" w:eastAsia="Times New Roman" w:hAnsi="Times New Roman" w:cs="Times New Roman"/>
          <w:i/>
          <w:iCs/>
          <w:sz w:val="24"/>
          <w:szCs w:val="24"/>
          <w:shd w:val="clear" w:color="auto" w:fill="FFFFFF"/>
          <w:lang w:val="en-GB"/>
        </w:rPr>
        <w:t>Linyon</w:t>
      </w:r>
      <w:proofErr w:type="spellEnd"/>
      <w:r w:rsidRPr="00EB54EB">
        <w:rPr>
          <w:rFonts w:ascii="Times New Roman" w:eastAsia="Times New Roman" w:hAnsi="Times New Roman" w:cs="Times New Roman"/>
          <w:i/>
          <w:iCs/>
          <w:sz w:val="24"/>
          <w:szCs w:val="24"/>
          <w:shd w:val="clear" w:color="auto" w:fill="FFFFFF"/>
          <w:lang w:val="en-GB"/>
        </w:rPr>
        <w:t xml:space="preserve"> </w:t>
      </w:r>
      <w:proofErr w:type="spellStart"/>
      <w:r w:rsidRPr="00EB54EB">
        <w:rPr>
          <w:rFonts w:ascii="Times New Roman" w:eastAsia="Times New Roman" w:hAnsi="Times New Roman" w:cs="Times New Roman"/>
          <w:i/>
          <w:iCs/>
          <w:sz w:val="24"/>
          <w:szCs w:val="24"/>
          <w:shd w:val="clear" w:color="auto" w:fill="FFFFFF"/>
          <w:lang w:val="en-GB"/>
        </w:rPr>
        <w:t>Demokratik</w:t>
      </w:r>
      <w:proofErr w:type="spellEnd"/>
      <w:r w:rsidRPr="00EB54EB">
        <w:rPr>
          <w:rFonts w:ascii="Times New Roman" w:eastAsia="Times New Roman" w:hAnsi="Times New Roman" w:cs="Times New Roman"/>
          <w:i/>
          <w:iCs/>
          <w:sz w:val="24"/>
          <w:szCs w:val="24"/>
          <w:shd w:val="clear" w:color="auto" w:fill="FFFFFF"/>
          <w:lang w:val="en-GB"/>
        </w:rPr>
        <w:t xml:space="preserve"> Seselwa v </w:t>
      </w:r>
      <w:proofErr w:type="spellStart"/>
      <w:r w:rsidRPr="00EB54EB">
        <w:rPr>
          <w:rFonts w:ascii="Times New Roman" w:eastAsia="Times New Roman" w:hAnsi="Times New Roman" w:cs="Times New Roman"/>
          <w:i/>
          <w:iCs/>
          <w:sz w:val="24"/>
          <w:szCs w:val="24"/>
          <w:shd w:val="clear" w:color="auto" w:fill="FFFFFF"/>
          <w:lang w:val="en-GB"/>
        </w:rPr>
        <w:t>Gappy</w:t>
      </w:r>
      <w:proofErr w:type="spellEnd"/>
      <w:r w:rsidRPr="00EB54EB">
        <w:rPr>
          <w:rFonts w:ascii="Times New Roman" w:eastAsia="Times New Roman" w:hAnsi="Times New Roman" w:cs="Times New Roman"/>
          <w:i/>
          <w:iCs/>
          <w:sz w:val="24"/>
          <w:szCs w:val="24"/>
          <w:shd w:val="clear" w:color="auto" w:fill="FFFFFF"/>
          <w:lang w:val="en-GB"/>
        </w:rPr>
        <w:t xml:space="preserve"> &amp; </w:t>
      </w:r>
      <w:proofErr w:type="spellStart"/>
      <w:r w:rsidRPr="00EB54EB">
        <w:rPr>
          <w:rFonts w:ascii="Times New Roman" w:eastAsia="Times New Roman" w:hAnsi="Times New Roman" w:cs="Times New Roman"/>
          <w:i/>
          <w:iCs/>
          <w:sz w:val="24"/>
          <w:szCs w:val="24"/>
          <w:shd w:val="clear" w:color="auto" w:fill="FFFFFF"/>
          <w:lang w:val="en-GB"/>
        </w:rPr>
        <w:t>Ors</w:t>
      </w:r>
      <w:proofErr w:type="spellEnd"/>
      <w:r w:rsidRPr="00EB54EB">
        <w:rPr>
          <w:rFonts w:ascii="Times New Roman" w:eastAsia="Times New Roman" w:hAnsi="Times New Roman" w:cs="Times New Roman"/>
          <w:i/>
          <w:sz w:val="24"/>
          <w:szCs w:val="24"/>
          <w:shd w:val="clear" w:color="auto" w:fill="FFFFFF"/>
          <w:lang w:val="en-GB"/>
        </w:rPr>
        <w:t> (MA 266/2016 arising in MC 86/2016 and MC 87/2016 ) [2016] SCSC 615 (24 August 2016), Karunakaran J  in making a distinction between civil and criminal contempt stated:</w:t>
      </w:r>
    </w:p>
    <w:p w:rsidR="00EB54EB" w:rsidRPr="00EB54EB" w:rsidRDefault="00EB54EB" w:rsidP="00EB54EB">
      <w:pPr>
        <w:shd w:val="clear" w:color="auto" w:fill="FFFFFF"/>
        <w:spacing w:after="240" w:line="300" w:lineRule="atLeast"/>
        <w:ind w:left="1440"/>
        <w:jc w:val="both"/>
        <w:rPr>
          <w:rFonts w:ascii="Arial" w:eastAsia="Times New Roman" w:hAnsi="Arial" w:cs="Arial"/>
          <w:i/>
          <w:sz w:val="24"/>
          <w:szCs w:val="24"/>
        </w:rPr>
      </w:pPr>
      <w:r w:rsidRPr="00EB54EB">
        <w:rPr>
          <w:rFonts w:ascii="Times New Roman" w:eastAsia="Times New Roman" w:hAnsi="Times New Roman" w:cs="Times New Roman"/>
          <w:i/>
          <w:iCs/>
          <w:sz w:val="24"/>
          <w:szCs w:val="24"/>
        </w:rPr>
        <w:t>“The major factor in determining whether a contempt is civil or criminal is the purpose for which the power is exercised including the nature of the relief and the purpose for which the sentence is imposed.</w:t>
      </w:r>
    </w:p>
    <w:p w:rsidR="00EB54EB" w:rsidRPr="00EB54EB" w:rsidRDefault="00EB54EB" w:rsidP="00EB54EB">
      <w:pPr>
        <w:shd w:val="clear" w:color="auto" w:fill="FFFFFF"/>
        <w:spacing w:after="240" w:line="300" w:lineRule="atLeast"/>
        <w:ind w:left="1440"/>
        <w:jc w:val="both"/>
        <w:rPr>
          <w:rFonts w:ascii="Times New Roman" w:eastAsia="Times New Roman" w:hAnsi="Times New Roman" w:cs="Times New Roman"/>
          <w:i/>
          <w:iCs/>
          <w:sz w:val="24"/>
          <w:szCs w:val="24"/>
        </w:rPr>
      </w:pPr>
      <w:r w:rsidRPr="00EB54EB">
        <w:rPr>
          <w:rFonts w:ascii="Times New Roman" w:eastAsia="Times New Roman" w:hAnsi="Times New Roman" w:cs="Times New Roman"/>
          <w:i/>
          <w:iCs/>
          <w:sz w:val="24"/>
          <w:szCs w:val="24"/>
        </w:rPr>
        <w:t>The purpose of civil contempt is to compel the defendant to do thing (sic) required by the order of the court for the benefit of the complainant.  The primary purpose of criminal contempt are (sic) to preserve the Court’s authority, and to punish for disobedience of its orders.  If it is for civil contempt the punishment is remedial or compensatory and for the benefit of the complainant but if it is for criminal</w:t>
      </w:r>
      <w:r w:rsidRPr="00EB54EB">
        <w:rPr>
          <w:rFonts w:ascii="Times New Roman" w:eastAsia="Times New Roman" w:hAnsi="Times New Roman" w:cs="Times New Roman"/>
          <w:i/>
          <w:sz w:val="24"/>
          <w:szCs w:val="24"/>
        </w:rPr>
        <w:t> </w:t>
      </w:r>
      <w:r w:rsidRPr="00EB54EB">
        <w:rPr>
          <w:rFonts w:ascii="Times New Roman" w:eastAsia="Times New Roman" w:hAnsi="Times New Roman" w:cs="Times New Roman"/>
          <w:i/>
          <w:iCs/>
          <w:sz w:val="24"/>
          <w:szCs w:val="24"/>
        </w:rPr>
        <w:t>contempt the sentence is punitive to vindicate the authority of the Court …”</w:t>
      </w:r>
    </w:p>
    <w:p w:rsidR="00EB54EB" w:rsidRPr="00EB54EB" w:rsidRDefault="00EB54EB" w:rsidP="00EB54EB">
      <w:pPr>
        <w:pStyle w:val="JudgmentText"/>
      </w:pPr>
      <w:r w:rsidRPr="00EB54EB">
        <w:t>Having made that distinction between civil and criminal contempt, Twomey then CJ then goes on to say that -</w:t>
      </w:r>
    </w:p>
    <w:p w:rsidR="00EB54EB" w:rsidRPr="00EB54EB" w:rsidRDefault="00EB54EB" w:rsidP="00AB6228">
      <w:pPr>
        <w:numPr>
          <w:ilvl w:val="0"/>
          <w:numId w:val="10"/>
        </w:numPr>
        <w:shd w:val="clear" w:color="auto" w:fill="FFFFFF"/>
        <w:spacing w:before="100" w:beforeAutospacing="1" w:after="240" w:line="300" w:lineRule="atLeast"/>
        <w:ind w:left="975"/>
        <w:jc w:val="both"/>
        <w:rPr>
          <w:rFonts w:ascii="Arial" w:eastAsia="Times New Roman" w:hAnsi="Arial" w:cs="Arial"/>
          <w:i/>
          <w:sz w:val="24"/>
          <w:szCs w:val="24"/>
        </w:rPr>
      </w:pPr>
      <w:r w:rsidRPr="00EB54EB">
        <w:rPr>
          <w:rFonts w:ascii="Times New Roman" w:eastAsia="Times New Roman" w:hAnsi="Times New Roman" w:cs="Times New Roman"/>
          <w:i/>
          <w:sz w:val="24"/>
          <w:szCs w:val="24"/>
          <w:lang w:val="en-GB"/>
        </w:rPr>
        <w:t xml:space="preserve">It must be stated, however, that although </w:t>
      </w:r>
      <w:proofErr w:type="spellStart"/>
      <w:r w:rsidRPr="00EB54EB">
        <w:rPr>
          <w:rFonts w:ascii="Times New Roman" w:eastAsia="Times New Roman" w:hAnsi="Times New Roman" w:cs="Times New Roman"/>
          <w:i/>
          <w:sz w:val="24"/>
          <w:szCs w:val="24"/>
          <w:lang w:val="en-GB"/>
        </w:rPr>
        <w:t>contempts</w:t>
      </w:r>
      <w:proofErr w:type="spellEnd"/>
      <w:r w:rsidRPr="00EB54EB">
        <w:rPr>
          <w:rFonts w:ascii="Times New Roman" w:eastAsia="Times New Roman" w:hAnsi="Times New Roman" w:cs="Times New Roman"/>
          <w:i/>
          <w:sz w:val="24"/>
          <w:szCs w:val="24"/>
          <w:lang w:val="en-GB"/>
        </w:rPr>
        <w:t xml:space="preserve"> have followed this classic distinction, the two classes have converged (see in this respect </w:t>
      </w:r>
      <w:proofErr w:type="spellStart"/>
      <w:r w:rsidRPr="00EB54EB">
        <w:rPr>
          <w:rFonts w:ascii="Times New Roman" w:eastAsia="Times New Roman" w:hAnsi="Times New Roman" w:cs="Times New Roman"/>
          <w:i/>
          <w:iCs/>
          <w:sz w:val="24"/>
          <w:szCs w:val="24"/>
          <w:lang w:val="en-GB"/>
        </w:rPr>
        <w:t>Daltel</w:t>
      </w:r>
      <w:proofErr w:type="spellEnd"/>
      <w:r w:rsidRPr="00EB54EB">
        <w:rPr>
          <w:rFonts w:ascii="Times New Roman" w:eastAsia="Times New Roman" w:hAnsi="Times New Roman" w:cs="Times New Roman"/>
          <w:i/>
          <w:iCs/>
          <w:sz w:val="24"/>
          <w:szCs w:val="24"/>
          <w:lang w:val="en-GB"/>
        </w:rPr>
        <w:t xml:space="preserve"> Europe Ltd v </w:t>
      </w:r>
      <w:proofErr w:type="spellStart"/>
      <w:r w:rsidRPr="00EB54EB">
        <w:rPr>
          <w:rFonts w:ascii="Times New Roman" w:eastAsia="Times New Roman" w:hAnsi="Times New Roman" w:cs="Times New Roman"/>
          <w:i/>
          <w:iCs/>
          <w:sz w:val="24"/>
          <w:szCs w:val="24"/>
          <w:lang w:val="en-GB"/>
        </w:rPr>
        <w:t>Makki</w:t>
      </w:r>
      <w:proofErr w:type="spellEnd"/>
      <w:r w:rsidRPr="00EB54EB">
        <w:rPr>
          <w:rFonts w:ascii="Times New Roman" w:eastAsia="Times New Roman" w:hAnsi="Times New Roman" w:cs="Times New Roman"/>
          <w:i/>
          <w:sz w:val="24"/>
          <w:szCs w:val="24"/>
          <w:lang w:val="en-GB"/>
        </w:rPr>
        <w:t xml:space="preserve"> [2006] EWCA </w:t>
      </w:r>
      <w:proofErr w:type="spellStart"/>
      <w:r w:rsidRPr="00EB54EB">
        <w:rPr>
          <w:rFonts w:ascii="Times New Roman" w:eastAsia="Times New Roman" w:hAnsi="Times New Roman" w:cs="Times New Roman"/>
          <w:i/>
          <w:sz w:val="24"/>
          <w:szCs w:val="24"/>
          <w:lang w:val="en-GB"/>
        </w:rPr>
        <w:t>Civ</w:t>
      </w:r>
      <w:proofErr w:type="spellEnd"/>
      <w:r w:rsidRPr="00EB54EB">
        <w:rPr>
          <w:rFonts w:ascii="Times New Roman" w:eastAsia="Times New Roman" w:hAnsi="Times New Roman" w:cs="Times New Roman"/>
          <w:i/>
          <w:sz w:val="24"/>
          <w:szCs w:val="24"/>
          <w:lang w:val="en-GB"/>
        </w:rPr>
        <w:t xml:space="preserve"> 94). </w:t>
      </w:r>
      <w:r w:rsidRPr="00EB54EB">
        <w:rPr>
          <w:rFonts w:ascii="Times New Roman" w:eastAsia="Times New Roman" w:hAnsi="Times New Roman" w:cs="Times New Roman"/>
          <w:i/>
          <w:sz w:val="24"/>
          <w:szCs w:val="24"/>
        </w:rPr>
        <w:t>The basis for contempt orders is the strong public interest in ensuring obedience to court orders generally. As was held by t</w:t>
      </w:r>
      <w:r w:rsidRPr="00EB54EB">
        <w:rPr>
          <w:rFonts w:ascii="Times New Roman" w:eastAsia="Times New Roman" w:hAnsi="Times New Roman" w:cs="Times New Roman"/>
          <w:i/>
          <w:sz w:val="24"/>
          <w:szCs w:val="24"/>
          <w:shd w:val="clear" w:color="auto" w:fill="FFFFFF"/>
        </w:rPr>
        <w:t>he UK Court of Appeal i</w:t>
      </w:r>
      <w:r w:rsidRPr="00EB54EB">
        <w:rPr>
          <w:rFonts w:ascii="Times New Roman" w:eastAsia="Times New Roman" w:hAnsi="Times New Roman" w:cs="Times New Roman"/>
          <w:i/>
          <w:sz w:val="24"/>
          <w:szCs w:val="24"/>
        </w:rPr>
        <w:t>n </w:t>
      </w:r>
      <w:r w:rsidRPr="00EB54EB">
        <w:rPr>
          <w:rFonts w:ascii="Times New Roman" w:eastAsia="Times New Roman" w:hAnsi="Times New Roman" w:cs="Times New Roman"/>
          <w:i/>
          <w:iCs/>
          <w:sz w:val="24"/>
          <w:szCs w:val="24"/>
        </w:rPr>
        <w:t xml:space="preserve">JSC BTA Bank v </w:t>
      </w:r>
      <w:proofErr w:type="spellStart"/>
      <w:r w:rsidRPr="00EB54EB">
        <w:rPr>
          <w:rFonts w:ascii="Times New Roman" w:eastAsia="Times New Roman" w:hAnsi="Times New Roman" w:cs="Times New Roman"/>
          <w:i/>
          <w:iCs/>
          <w:sz w:val="24"/>
          <w:szCs w:val="24"/>
        </w:rPr>
        <w:t>Solodchenko</w:t>
      </w:r>
      <w:proofErr w:type="spellEnd"/>
      <w:r w:rsidRPr="00EB54EB">
        <w:rPr>
          <w:rFonts w:ascii="Times New Roman" w:eastAsia="Times New Roman" w:hAnsi="Times New Roman" w:cs="Times New Roman"/>
          <w:i/>
          <w:iCs/>
          <w:sz w:val="24"/>
          <w:szCs w:val="24"/>
        </w:rPr>
        <w:t xml:space="preserve"> &amp; Others</w:t>
      </w:r>
      <w:r w:rsidRPr="00EB54EB">
        <w:rPr>
          <w:rFonts w:ascii="Times New Roman" w:eastAsia="Times New Roman" w:hAnsi="Times New Roman" w:cs="Times New Roman"/>
          <w:i/>
          <w:sz w:val="24"/>
          <w:szCs w:val="24"/>
        </w:rPr>
        <w:t xml:space="preserve"> [2011] EWCA </w:t>
      </w:r>
      <w:proofErr w:type="spellStart"/>
      <w:r w:rsidRPr="00EB54EB">
        <w:rPr>
          <w:rFonts w:ascii="Times New Roman" w:eastAsia="Times New Roman" w:hAnsi="Times New Roman" w:cs="Times New Roman"/>
          <w:i/>
          <w:sz w:val="24"/>
          <w:szCs w:val="24"/>
        </w:rPr>
        <w:t>Civ</w:t>
      </w:r>
      <w:proofErr w:type="spellEnd"/>
      <w:r w:rsidRPr="00EB54EB">
        <w:rPr>
          <w:rFonts w:ascii="Times New Roman" w:eastAsia="Times New Roman" w:hAnsi="Times New Roman" w:cs="Times New Roman"/>
          <w:i/>
          <w:sz w:val="24"/>
          <w:szCs w:val="24"/>
        </w:rPr>
        <w:t xml:space="preserve"> 1241, [2012] 1 WLR 350,  </w:t>
      </w:r>
      <w:r w:rsidRPr="00EB54EB">
        <w:rPr>
          <w:rFonts w:ascii="Times New Roman" w:eastAsia="Times New Roman" w:hAnsi="Times New Roman" w:cs="Times New Roman"/>
          <w:i/>
          <w:sz w:val="24"/>
          <w:szCs w:val="24"/>
          <w:shd w:val="clear" w:color="auto" w:fill="FFFFFF"/>
        </w:rPr>
        <w:t>committal for contempt is first and foremost a sentence which is in the public interest to uphold the authority of the court and to serve as a deterrent.</w:t>
      </w:r>
      <w:r w:rsidRPr="00EB54EB">
        <w:rPr>
          <w:rFonts w:ascii="Times New Roman" w:eastAsia="Times New Roman" w:hAnsi="Times New Roman" w:cs="Times New Roman"/>
          <w:i/>
          <w:sz w:val="24"/>
          <w:szCs w:val="24"/>
        </w:rPr>
        <w:t> </w:t>
      </w:r>
    </w:p>
    <w:p w:rsidR="00EB54EB" w:rsidRPr="00EB54EB" w:rsidRDefault="00EB54EB" w:rsidP="00EB54EB">
      <w:pPr>
        <w:shd w:val="clear" w:color="auto" w:fill="FFFFFF"/>
        <w:spacing w:before="100" w:beforeAutospacing="1" w:after="240" w:line="300" w:lineRule="atLeast"/>
        <w:ind w:left="975"/>
        <w:jc w:val="both"/>
        <w:rPr>
          <w:rFonts w:ascii="Arial" w:eastAsia="Times New Roman" w:hAnsi="Arial" w:cs="Arial"/>
          <w:i/>
          <w:sz w:val="24"/>
          <w:szCs w:val="24"/>
        </w:rPr>
      </w:pPr>
    </w:p>
    <w:p w:rsidR="008139AF" w:rsidRPr="008139AF" w:rsidRDefault="003427D7" w:rsidP="00590461">
      <w:pPr>
        <w:pStyle w:val="JudgmentText"/>
      </w:pPr>
      <w:r>
        <w:t xml:space="preserve">The Notice of Motion at paragraph (a) seeks an order </w:t>
      </w:r>
      <w:r w:rsidRPr="00217402">
        <w:rPr>
          <w:i/>
        </w:rPr>
        <w:t xml:space="preserve">“for summons to issue on the Respondents … to show cause as to why they should not be held in contempt of this Court </w:t>
      </w:r>
      <w:r w:rsidRPr="00217402">
        <w:rPr>
          <w:b/>
          <w:i/>
        </w:rPr>
        <w:t>for having misled and/or given misleading information and evidence to the Court</w:t>
      </w:r>
      <w:r w:rsidRPr="00217402">
        <w:rPr>
          <w:i/>
        </w:rPr>
        <w:t>”</w:t>
      </w:r>
      <w:r>
        <w:t xml:space="preserve">. </w:t>
      </w:r>
      <w:r w:rsidR="00C76095">
        <w:t xml:space="preserve">At paragraph (b) the order sought is </w:t>
      </w:r>
      <w:r w:rsidR="00C76095" w:rsidRPr="00217402">
        <w:rPr>
          <w:i/>
        </w:rPr>
        <w:t>“</w:t>
      </w:r>
      <w:r w:rsidRPr="00217402">
        <w:rPr>
          <w:i/>
        </w:rPr>
        <w:t xml:space="preserve">that the Respondents </w:t>
      </w:r>
      <w:r w:rsidR="00C76095" w:rsidRPr="00217402">
        <w:rPr>
          <w:i/>
        </w:rPr>
        <w:t>…</w:t>
      </w:r>
      <w:r w:rsidRPr="00217402">
        <w:rPr>
          <w:i/>
        </w:rPr>
        <w:t xml:space="preserve"> have acted in contempt of this Court and punishing the said Respondents for contempt</w:t>
      </w:r>
      <w:r w:rsidR="00C76095" w:rsidRPr="00217402">
        <w:rPr>
          <w:i/>
        </w:rPr>
        <w:t>”</w:t>
      </w:r>
      <w:r w:rsidR="00C76095">
        <w:t xml:space="preserve">. According to the Notice of Motion, the contempt which is alleged on the part of the respondents appears to be </w:t>
      </w:r>
      <w:r w:rsidR="00C76095" w:rsidRPr="00217402">
        <w:rPr>
          <w:i/>
        </w:rPr>
        <w:t xml:space="preserve">“having misled and/or given misleading information and evidence to the Court”. </w:t>
      </w:r>
      <w:r w:rsidR="008139AF">
        <w:t>Furthermore at paragraphs 29, 30 and 31 of VZ’s affidavit he states:</w:t>
      </w:r>
    </w:p>
    <w:p w:rsidR="0039076E" w:rsidRDefault="0039076E" w:rsidP="00AB6228">
      <w:pPr>
        <w:pStyle w:val="NumberedQuotationindent1"/>
        <w:numPr>
          <w:ilvl w:val="3"/>
          <w:numId w:val="6"/>
        </w:numPr>
        <w:ind w:left="1440" w:hanging="360"/>
      </w:pPr>
      <w:r>
        <w:t>Based on the matters stated in this Affidavit, I state that the Respondents 2</w:t>
      </w:r>
      <w:r w:rsidRPr="00E65F2B">
        <w:rPr>
          <w:vertAlign w:val="superscript"/>
        </w:rPr>
        <w:t>nd</w:t>
      </w:r>
      <w:r>
        <w:t>- 5</w:t>
      </w:r>
      <w:r w:rsidRPr="00E65F2B">
        <w:rPr>
          <w:vertAlign w:val="superscript"/>
        </w:rPr>
        <w:t>th</w:t>
      </w:r>
      <w:r>
        <w:t xml:space="preserve"> have </w:t>
      </w:r>
      <w:r w:rsidRPr="0039076E">
        <w:rPr>
          <w:b/>
        </w:rPr>
        <w:t>misled and/or given misleading information and evidence to the Court and acted in contempt of this Court</w:t>
      </w:r>
      <w:r>
        <w:t xml:space="preserve">. </w:t>
      </w:r>
    </w:p>
    <w:p w:rsidR="0039076E" w:rsidRDefault="0039076E" w:rsidP="0039076E">
      <w:pPr>
        <w:pStyle w:val="NumberedQuotationindent1"/>
        <w:numPr>
          <w:ilvl w:val="0"/>
          <w:numId w:val="0"/>
        </w:numPr>
        <w:ind w:left="1440"/>
      </w:pPr>
    </w:p>
    <w:p w:rsidR="0039076E" w:rsidRDefault="0039076E" w:rsidP="00AB6228">
      <w:pPr>
        <w:pStyle w:val="NumberedQuotationindent1"/>
        <w:numPr>
          <w:ilvl w:val="3"/>
          <w:numId w:val="6"/>
        </w:numPr>
        <w:ind w:left="1440" w:hanging="360"/>
      </w:pPr>
      <w:r>
        <w:t>Therefore, it is necessary in the interests of justice that summons are issued on the Respondents' 2</w:t>
      </w:r>
      <w:r w:rsidRPr="0039076E">
        <w:rPr>
          <w:vertAlign w:val="superscript"/>
        </w:rPr>
        <w:t>nd</w:t>
      </w:r>
      <w:r>
        <w:rPr>
          <w:vertAlign w:val="superscript"/>
        </w:rPr>
        <w:t xml:space="preserve"> </w:t>
      </w:r>
      <w:r>
        <w:t>- 5</w:t>
      </w:r>
      <w:r w:rsidRPr="0039076E">
        <w:rPr>
          <w:vertAlign w:val="superscript"/>
        </w:rPr>
        <w:t>th</w:t>
      </w:r>
      <w:r>
        <w:t xml:space="preserve"> to show cause as to why they should not be held personally liable </w:t>
      </w:r>
      <w:r w:rsidRPr="0039076E">
        <w:rPr>
          <w:b/>
        </w:rPr>
        <w:t xml:space="preserve">in contempt of this Court for having misled and /or given misleading information and evidence to the Court </w:t>
      </w:r>
      <w:r>
        <w:t>and for this Court to find that on the basis of the matters stated in this Affidavit, the Respondents 2</w:t>
      </w:r>
      <w:r w:rsidRPr="0039076E">
        <w:rPr>
          <w:vertAlign w:val="superscript"/>
        </w:rPr>
        <w:t>nd</w:t>
      </w:r>
      <w:r>
        <w:t xml:space="preserve"> – 5</w:t>
      </w:r>
      <w:r w:rsidRPr="0039076E">
        <w:rPr>
          <w:vertAlign w:val="superscript"/>
        </w:rPr>
        <w:t>th</w:t>
      </w:r>
      <w:r>
        <w:t xml:space="preserve"> have acted in Contempt of the Court. </w:t>
      </w:r>
    </w:p>
    <w:p w:rsidR="0039076E" w:rsidRDefault="0039076E" w:rsidP="0039076E">
      <w:pPr>
        <w:pStyle w:val="ListParagraph"/>
      </w:pPr>
    </w:p>
    <w:p w:rsidR="0039076E" w:rsidRDefault="0039076E" w:rsidP="00AB6228">
      <w:pPr>
        <w:pStyle w:val="NumberedQuotationindent1"/>
        <w:numPr>
          <w:ilvl w:val="3"/>
          <w:numId w:val="6"/>
        </w:numPr>
        <w:ind w:left="1440" w:hanging="360"/>
      </w:pPr>
      <w:r>
        <w:t>I further state based on the aforementioned, this Court should make an order that the Respondents have acted in contempt of Court and to punish the said Respondents for the said contempt and to make such further or other orders as this Court deems fit in the circumstances.</w:t>
      </w:r>
    </w:p>
    <w:p w:rsidR="0039076E" w:rsidRDefault="0039076E" w:rsidP="0039076E">
      <w:pPr>
        <w:pStyle w:val="NumberedQuotationindent1"/>
        <w:numPr>
          <w:ilvl w:val="0"/>
          <w:numId w:val="0"/>
        </w:numPr>
      </w:pPr>
    </w:p>
    <w:p w:rsidR="00B70520" w:rsidRDefault="00C76095" w:rsidP="00590461">
      <w:pPr>
        <w:pStyle w:val="JudgmentText"/>
      </w:pPr>
      <w:r w:rsidRPr="00C76095">
        <w:t>However</w:t>
      </w:r>
      <w:r w:rsidRPr="00217402">
        <w:rPr>
          <w:i/>
        </w:rPr>
        <w:t xml:space="preserve"> </w:t>
      </w:r>
      <w:r w:rsidR="00F541B7">
        <w:t xml:space="preserve">at paragraph 13 of </w:t>
      </w:r>
      <w:r w:rsidR="008139AF">
        <w:t>VZ</w:t>
      </w:r>
      <w:r w:rsidR="00F541B7">
        <w:t xml:space="preserve">’s affidavit which contains particulars of the alleged contempt, the contempt </w:t>
      </w:r>
      <w:r w:rsidR="00E70EE3">
        <w:t xml:space="preserve">also </w:t>
      </w:r>
      <w:r w:rsidR="00F541B7">
        <w:t>seems to consist of the 1</w:t>
      </w:r>
      <w:r w:rsidR="00F541B7" w:rsidRPr="00217402">
        <w:rPr>
          <w:vertAlign w:val="superscript"/>
        </w:rPr>
        <w:t>st</w:t>
      </w:r>
      <w:r w:rsidR="00F541B7">
        <w:t xml:space="preserve"> – 5</w:t>
      </w:r>
      <w:r w:rsidR="00F541B7" w:rsidRPr="00217402">
        <w:rPr>
          <w:vertAlign w:val="superscript"/>
        </w:rPr>
        <w:t>th</w:t>
      </w:r>
      <w:r w:rsidR="00F541B7">
        <w:t xml:space="preserve"> respondents in their capacity as directors</w:t>
      </w:r>
      <w:r w:rsidR="00217402">
        <w:t xml:space="preserve"> of VIJAY,</w:t>
      </w:r>
      <w:r w:rsidR="00F541B7">
        <w:t xml:space="preserve"> </w:t>
      </w:r>
      <w:r w:rsidR="00217402">
        <w:t xml:space="preserve">firstly </w:t>
      </w:r>
      <w:r w:rsidR="00F541B7">
        <w:t xml:space="preserve">failing and causing Vijay to </w:t>
      </w:r>
      <w:r w:rsidR="00217402">
        <w:t>refuse</w:t>
      </w:r>
      <w:r w:rsidR="0047557A">
        <w:t xml:space="preserve"> to comply with the judgments of the Supreme Court dated 20</w:t>
      </w:r>
      <w:r w:rsidR="0047557A" w:rsidRPr="00217402">
        <w:rPr>
          <w:vertAlign w:val="superscript"/>
        </w:rPr>
        <w:t>th</w:t>
      </w:r>
      <w:r w:rsidR="0047557A">
        <w:t xml:space="preserve"> June 2020 and the Court of Appeal dated</w:t>
      </w:r>
      <w:r w:rsidR="00F541B7">
        <w:t xml:space="preserve"> </w:t>
      </w:r>
      <w:r w:rsidR="0047557A">
        <w:t xml:space="preserve"> 2</w:t>
      </w:r>
      <w:r w:rsidR="0047557A" w:rsidRPr="00217402">
        <w:rPr>
          <w:vertAlign w:val="superscript"/>
        </w:rPr>
        <w:t>nd</w:t>
      </w:r>
      <w:r w:rsidR="0047557A">
        <w:t xml:space="preserve"> October 2020</w:t>
      </w:r>
      <w:r w:rsidR="00217402">
        <w:t>, and secondly causing VIJAY to file several applications to avoid execution of the judgments, which applications are specified at 14, 15 and 16 of the affidavit.</w:t>
      </w:r>
    </w:p>
    <w:p w:rsidR="009E5B6F" w:rsidRDefault="009E5B6F" w:rsidP="00590461">
      <w:pPr>
        <w:pStyle w:val="JudgmentText"/>
      </w:pPr>
      <w:r>
        <w:t xml:space="preserve">It is trite that </w:t>
      </w:r>
      <w:r w:rsidR="00E70EE3">
        <w:t xml:space="preserve">the </w:t>
      </w:r>
      <w:r>
        <w:t xml:space="preserve">evidence </w:t>
      </w:r>
      <w:r w:rsidR="00DD5F78">
        <w:t xml:space="preserve">must </w:t>
      </w:r>
      <w:r>
        <w:t>follow the pleadings</w:t>
      </w:r>
      <w:r w:rsidR="00C207E3">
        <w:t>, and the contempt alleged in the pleadings in the instant case being the Notice of Motion</w:t>
      </w:r>
      <w:r w:rsidR="00DD5F78">
        <w:t>,</w:t>
      </w:r>
      <w:r w:rsidR="00C207E3">
        <w:t xml:space="preserve"> is</w:t>
      </w:r>
      <w:r w:rsidR="00DD5F78">
        <w:t xml:space="preserve"> </w:t>
      </w:r>
      <w:r w:rsidR="00C207E3" w:rsidRPr="00217402">
        <w:rPr>
          <w:i/>
        </w:rPr>
        <w:t xml:space="preserve">“having misled and/or given </w:t>
      </w:r>
      <w:r w:rsidR="00C207E3" w:rsidRPr="00217402">
        <w:rPr>
          <w:i/>
        </w:rPr>
        <w:lastRenderedPageBreak/>
        <w:t>misleading information and evidence to the Court”</w:t>
      </w:r>
      <w:r w:rsidR="00C207E3">
        <w:rPr>
          <w:i/>
        </w:rPr>
        <w:t xml:space="preserve"> </w:t>
      </w:r>
      <w:r w:rsidR="00C207E3" w:rsidRPr="00C207E3">
        <w:t xml:space="preserve">and </w:t>
      </w:r>
      <w:r w:rsidR="00C207E3">
        <w:t>not non-compliance with the two aforementioned judgments</w:t>
      </w:r>
      <w:r w:rsidR="00B70520">
        <w:t xml:space="preserve"> or filing of applications before the Supreme Court, Constitutional Court and Court of Appeal to allegedly avoid execution of the said judgments</w:t>
      </w:r>
      <w:r w:rsidR="00C207E3">
        <w:t xml:space="preserve">. </w:t>
      </w:r>
      <w:r w:rsidR="006B6AE2">
        <w:t xml:space="preserve"> </w:t>
      </w:r>
      <w:r w:rsidR="00E70EE3">
        <w:t>This Court will therefore not consider those aspect</w:t>
      </w:r>
      <w:r w:rsidR="0039076E">
        <w:t>s</w:t>
      </w:r>
      <w:r w:rsidR="00E70EE3">
        <w:t xml:space="preserve"> of the alleged contempt which are not pleaded.</w:t>
      </w:r>
    </w:p>
    <w:p w:rsidR="00DC0FB2" w:rsidRDefault="00B70520" w:rsidP="00590461">
      <w:pPr>
        <w:pStyle w:val="JudgmentText"/>
      </w:pPr>
      <w:r>
        <w:t xml:space="preserve">In his affidavit VZ alleges other acts of contempt. </w:t>
      </w:r>
      <w:r w:rsidR="00C207E3">
        <w:t xml:space="preserve">At paragraph 17 of </w:t>
      </w:r>
      <w:r w:rsidR="00400D2E">
        <w:t>his</w:t>
      </w:r>
      <w:r w:rsidR="006B6AE2">
        <w:t xml:space="preserve"> affidavit he states that in the affidavit</w:t>
      </w:r>
      <w:r w:rsidR="000C3823">
        <w:t xml:space="preserve"> dated 8</w:t>
      </w:r>
      <w:r w:rsidR="000C3823" w:rsidRPr="000C3823">
        <w:rPr>
          <w:vertAlign w:val="superscript"/>
        </w:rPr>
        <w:t>th</w:t>
      </w:r>
      <w:r w:rsidR="000C3823">
        <w:t xml:space="preserve"> October 2020</w:t>
      </w:r>
      <w:r w:rsidR="006B6AE2">
        <w:t xml:space="preserve"> verifying the Winding-Up Petition filed by VIJAY after the delivery of the judgment of the Supreme Court dated 20</w:t>
      </w:r>
      <w:r w:rsidR="006B6AE2" w:rsidRPr="00217402">
        <w:rPr>
          <w:vertAlign w:val="superscript"/>
        </w:rPr>
        <w:t>th</w:t>
      </w:r>
      <w:r w:rsidR="006B6AE2">
        <w:t xml:space="preserve"> June 2020 and the Court of Appeal dated 2</w:t>
      </w:r>
      <w:r w:rsidR="006B6AE2" w:rsidRPr="00217402">
        <w:rPr>
          <w:vertAlign w:val="superscript"/>
        </w:rPr>
        <w:t>nd</w:t>
      </w:r>
      <w:r w:rsidR="006B6AE2">
        <w:t xml:space="preserve"> October 2020,</w:t>
      </w:r>
      <w:r>
        <w:t xml:space="preserve"> </w:t>
      </w:r>
      <w:r w:rsidR="006B6AE2">
        <w:t>VJP as a director and shareholder of VIJAY</w:t>
      </w:r>
      <w:r w:rsidR="00015C7D">
        <w:t xml:space="preserve">, stated that Vijay is unable to pay its debts. </w:t>
      </w:r>
      <w:r w:rsidR="000C3823">
        <w:t xml:space="preserve">This may fall within the ambit of the Notice of Motion in that it may be considered as </w:t>
      </w:r>
      <w:r w:rsidR="000C3823" w:rsidRPr="00217402">
        <w:rPr>
          <w:i/>
        </w:rPr>
        <w:t>“having misled and/or given misleading information and evidence to the Court</w:t>
      </w:r>
      <w:r w:rsidR="000C3823">
        <w:rPr>
          <w:i/>
        </w:rPr>
        <w:t xml:space="preserve">” </w:t>
      </w:r>
      <w:r w:rsidR="000C3823">
        <w:t>provided of course that there is evidence of the same. The only evidence in that regard is a copy of VJP’s affidavit of 8</w:t>
      </w:r>
      <w:r w:rsidR="000C3823" w:rsidRPr="000C3823">
        <w:rPr>
          <w:vertAlign w:val="superscript"/>
        </w:rPr>
        <w:t>th</w:t>
      </w:r>
      <w:r w:rsidR="00DC0FB2">
        <w:t xml:space="preserve"> October 2020 in which he declares the following:</w:t>
      </w:r>
    </w:p>
    <w:p w:rsidR="00C207E3" w:rsidRDefault="00DC0FB2" w:rsidP="00AB6228">
      <w:pPr>
        <w:pStyle w:val="NumberedQuotationindent1"/>
        <w:numPr>
          <w:ilvl w:val="3"/>
          <w:numId w:val="4"/>
        </w:numPr>
        <w:ind w:left="1440"/>
      </w:pPr>
      <w:r>
        <w:t>I verily believe that the company has no ability to pay the sums awarded in the award in that its assets are valued at substantially less than the total of the award, including interest, which now stands in total at over EURO 20 million. I exhibit as DOC4 a recent US Dollar estimate of the plant and equipment of the C</w:t>
      </w:r>
      <w:r w:rsidR="008B14DF">
        <w:t xml:space="preserve">ompany in support. Additionally, the Company has sums standing to its credit with banks, sums due to it by its clients and judgment awards in its </w:t>
      </w:r>
      <w:proofErr w:type="spellStart"/>
      <w:r w:rsidR="008B14DF">
        <w:t>favour</w:t>
      </w:r>
      <w:proofErr w:type="spellEnd"/>
      <w:r w:rsidR="008B14DF">
        <w:t xml:space="preserve">, but, insofar as cash and monies due to it are concerned, these must be set off against sums which the Company owes, and insofar as awards in its </w:t>
      </w:r>
      <w:proofErr w:type="spellStart"/>
      <w:r w:rsidR="008B14DF">
        <w:t>favour</w:t>
      </w:r>
      <w:proofErr w:type="spellEnd"/>
      <w:r w:rsidR="008B14DF">
        <w:t xml:space="preserve"> are concerned, these are all subject to appeals and are contingent on the Company successfully resisting these appeals.</w:t>
      </w:r>
    </w:p>
    <w:p w:rsidR="008B14DF" w:rsidRDefault="008B14DF" w:rsidP="008B14DF">
      <w:pPr>
        <w:pStyle w:val="NumberedQuotationindent1"/>
        <w:numPr>
          <w:ilvl w:val="0"/>
          <w:numId w:val="0"/>
        </w:numPr>
        <w:ind w:left="1440"/>
      </w:pPr>
    </w:p>
    <w:p w:rsidR="008B14DF" w:rsidRDefault="008B14DF" w:rsidP="00AB6228">
      <w:pPr>
        <w:pStyle w:val="NumberedQuotationindent1"/>
        <w:numPr>
          <w:ilvl w:val="3"/>
          <w:numId w:val="4"/>
        </w:numPr>
        <w:ind w:left="1440"/>
      </w:pPr>
      <w:r>
        <w:t>The Company has numerous other creditors and, for the foregoing reasons, I verily believe that it is consequently unable to pay its debts. I exhibit as DOC5 a provisional statement of the other creditors of the Company.</w:t>
      </w:r>
    </w:p>
    <w:p w:rsidR="008B14DF" w:rsidRDefault="008B14DF" w:rsidP="008B14DF">
      <w:pPr>
        <w:pStyle w:val="NumberedQuotationindent1"/>
        <w:numPr>
          <w:ilvl w:val="0"/>
          <w:numId w:val="0"/>
        </w:numPr>
      </w:pPr>
    </w:p>
    <w:p w:rsidR="009A5814" w:rsidRDefault="00A42159" w:rsidP="009A5814">
      <w:pPr>
        <w:pStyle w:val="JudgmentText"/>
      </w:pPr>
      <w:r>
        <w:t xml:space="preserve">Neither a copy of the Winding-Up Petition </w:t>
      </w:r>
      <w:r w:rsidR="008139AF">
        <w:t>n</w:t>
      </w:r>
      <w:r>
        <w:t>or t</w:t>
      </w:r>
      <w:r w:rsidR="008B14DF">
        <w:t xml:space="preserve">he documents exhibited in </w:t>
      </w:r>
      <w:r>
        <w:t>VJP’s affidavit were provided</w:t>
      </w:r>
      <w:r w:rsidR="00005231">
        <w:t xml:space="preserve"> to this Court.</w:t>
      </w:r>
      <w:r w:rsidR="00C959AA">
        <w:t xml:space="preserve"> The Winding-Up Petition was dismissed by order dated 12 March 2021 as an abuse of process with costs, for the reason that VIJAY had contrary to its undertaking to Court intentionally failed to comply with provisions of the Winding up </w:t>
      </w:r>
      <w:r w:rsidR="00C959AA">
        <w:lastRenderedPageBreak/>
        <w:t xml:space="preserve">Regulations 1975 so that </w:t>
      </w:r>
      <w:r w:rsidR="00D24DD3">
        <w:t xml:space="preserve">the </w:t>
      </w:r>
      <w:r w:rsidR="00C959AA">
        <w:t xml:space="preserve">interested parties </w:t>
      </w:r>
      <w:r w:rsidR="00D24DD3">
        <w:t xml:space="preserve">could not be present and exercise their right to be heard at the hearing. </w:t>
      </w:r>
      <w:r w:rsidR="006507ED">
        <w:t xml:space="preserve">There was no finding of the Court that EEEL was able to pay its debts. </w:t>
      </w:r>
    </w:p>
    <w:p w:rsidR="009A5814" w:rsidRDefault="009A5814" w:rsidP="00AB6228">
      <w:pPr>
        <w:pStyle w:val="JudgmentText"/>
      </w:pPr>
      <w:r>
        <w:t>VZ states at paragraph 22 of his affidavit that the 1</w:t>
      </w:r>
      <w:r w:rsidRPr="0039076E">
        <w:rPr>
          <w:vertAlign w:val="superscript"/>
        </w:rPr>
        <w:t>st</w:t>
      </w:r>
      <w:r>
        <w:t xml:space="preserve"> – 5</w:t>
      </w:r>
      <w:r w:rsidRPr="0039076E">
        <w:rPr>
          <w:vertAlign w:val="superscript"/>
        </w:rPr>
        <w:t>th</w:t>
      </w:r>
      <w:r>
        <w:t xml:space="preserve"> respondents’ statement regarding inability to pay VIJAY’s debts and having to cease operations on all projects which it had been undertaking prior to the Supreme Court and Court of Appeal judgments of 30 June 2020 and 2</w:t>
      </w:r>
      <w:r w:rsidRPr="004E6734">
        <w:rPr>
          <w:vertAlign w:val="superscript"/>
        </w:rPr>
        <w:t>nd</w:t>
      </w:r>
      <w:r>
        <w:t xml:space="preserve"> October 2020 and the loss of jobs by its workers were exaggerated in the Winding-Up Petition - a copy of which was not exhibited in this motion. He avers that Vijay resumed construction works on all project sites soon after the filing of the Winding - Up Petition. In support he produced a pen-drive containing photographs and video footage purportedly showing on-going works on some Vijay Construction sites, plant/machinery and equipment of VIJAY in operation/use on those sites and also VIJAY workers. Suffice it to say that, in the absence of any evidence as to who took the pictures and videos and testimony from that person as to the dates on and places at which they were taken and explain</w:t>
      </w:r>
      <w:r w:rsidR="00400D2E">
        <w:t>ing</w:t>
      </w:r>
      <w:r>
        <w:t xml:space="preserve"> the contents thereof, this Court cannot place any reliance on such evidence to show that in making the statement that Vijay was unable to pay its debts, VJP “</w:t>
      </w:r>
      <w:r w:rsidRPr="00217402">
        <w:rPr>
          <w:i/>
        </w:rPr>
        <w:t xml:space="preserve">misled and/or </w:t>
      </w:r>
      <w:r>
        <w:rPr>
          <w:i/>
        </w:rPr>
        <w:t>[gave]</w:t>
      </w:r>
      <w:r w:rsidRPr="00217402">
        <w:rPr>
          <w:i/>
        </w:rPr>
        <w:t xml:space="preserve"> misleading information and evidence to the Court</w:t>
      </w:r>
      <w:r>
        <w:rPr>
          <w:i/>
        </w:rPr>
        <w:t>”</w:t>
      </w:r>
      <w:r>
        <w:t xml:space="preserve">. For that reason the Court cannot find, as stated in VZ’s affidavit (para 23) that </w:t>
      </w:r>
      <w:r w:rsidRPr="006507ED">
        <w:rPr>
          <w:i/>
        </w:rPr>
        <w:t>“… the Construction sites of VIJAY are not closed, VIJAY’s workers and its plant/machinery and equipment are at work and in operation and use</w:t>
      </w:r>
      <w:r w:rsidR="00400D2E">
        <w:rPr>
          <w:i/>
        </w:rPr>
        <w:t xml:space="preserve">” </w:t>
      </w:r>
      <w:r w:rsidR="00400D2E" w:rsidRPr="00400D2E">
        <w:t xml:space="preserve">and that therefore </w:t>
      </w:r>
      <w:r w:rsidRPr="00400D2E">
        <w:t>the declarations of the 2</w:t>
      </w:r>
      <w:r w:rsidRPr="00400D2E">
        <w:rPr>
          <w:vertAlign w:val="superscript"/>
        </w:rPr>
        <w:t>nd</w:t>
      </w:r>
      <w:r w:rsidRPr="00400D2E">
        <w:t xml:space="preserve"> Respondent as </w:t>
      </w:r>
      <w:r w:rsidR="00400D2E" w:rsidRPr="00400D2E">
        <w:t xml:space="preserve">to </w:t>
      </w:r>
      <w:r w:rsidRPr="00400D2E">
        <w:t>cessation of work are incorrect</w:t>
      </w:r>
      <w:r w:rsidR="00400D2E">
        <w:rPr>
          <w:i/>
        </w:rPr>
        <w:t>.</w:t>
      </w:r>
    </w:p>
    <w:p w:rsidR="00E23B46" w:rsidRDefault="00D24DD3" w:rsidP="00164B74">
      <w:pPr>
        <w:pStyle w:val="JudgmentText"/>
      </w:pPr>
      <w:r>
        <w:t>In his affidavit VZ also speaks about the incorporation of the</w:t>
      </w:r>
      <w:r w:rsidR="00224B42">
        <w:t xml:space="preserve"> new company VIJAY2</w:t>
      </w:r>
      <w:r w:rsidR="00E23B46">
        <w:t xml:space="preserve"> just before delivery of the judgment of the Court of Appeal on 13</w:t>
      </w:r>
      <w:r w:rsidR="00E23B46" w:rsidRPr="00164B74">
        <w:rPr>
          <w:vertAlign w:val="superscript"/>
        </w:rPr>
        <w:t>th</w:t>
      </w:r>
      <w:r w:rsidR="00E23B46">
        <w:t xml:space="preserve"> December 2017 – arising from an appeal against the Supreme Court Judgment in favour of EEEL given in its first attempt at enforcement of the arbitral award in Seychelles. He states at paragraph 10 that the unavoidable c</w:t>
      </w:r>
      <w:r w:rsidR="008C60A1">
        <w:t>onclusion that can be inferred</w:t>
      </w:r>
      <w:r w:rsidR="00E23B46">
        <w:t xml:space="preserve"> is an intent on the part of VIJAY’s directors to defraud EEEL and deny it the fruits of its judgment if the Court of Appeal Judgment of 13</w:t>
      </w:r>
      <w:r w:rsidR="00E23B46" w:rsidRPr="00164B74">
        <w:rPr>
          <w:vertAlign w:val="superscript"/>
        </w:rPr>
        <w:t>th</w:t>
      </w:r>
      <w:r w:rsidR="00E23B46">
        <w:t xml:space="preserve"> December 2017 had been in EEEL’s favour. </w:t>
      </w:r>
    </w:p>
    <w:p w:rsidR="004577AD" w:rsidRDefault="00915EEE" w:rsidP="009A5814">
      <w:pPr>
        <w:pStyle w:val="JudgmentText"/>
      </w:pPr>
      <w:r>
        <w:lastRenderedPageBreak/>
        <w:t xml:space="preserve">The timing of the incorporation of VIJAY2 certainly </w:t>
      </w:r>
      <w:r w:rsidR="00224B42">
        <w:t>appear</w:t>
      </w:r>
      <w:r>
        <w:t>s</w:t>
      </w:r>
      <w:r w:rsidR="00224B42">
        <w:t xml:space="preserve"> suspicious </w:t>
      </w:r>
      <w:r>
        <w:t>especially given the similarity in the names of the two companies, that VIJAY2 has the same directors as VIJAY and that both companies are registered for the same type of business activity. The fact that VIJAY2, despite being incorporated in 2017</w:t>
      </w:r>
      <w:r w:rsidR="00891822">
        <w:t xml:space="preserve">, </w:t>
      </w:r>
      <w:r>
        <w:t>only started operating</w:t>
      </w:r>
      <w:r w:rsidR="00891822">
        <w:t xml:space="preserve"> and was given a license to carry out construction works after the delivery of the Court of Appeal judgment of 2</w:t>
      </w:r>
      <w:r w:rsidR="00891822" w:rsidRPr="00891822">
        <w:rPr>
          <w:vertAlign w:val="superscript"/>
        </w:rPr>
        <w:t>nd</w:t>
      </w:r>
      <w:r w:rsidR="00891822">
        <w:t xml:space="preserve"> October 2020 could lead to the inference that it was incorporated to defraud EEEL of the fruits of its judgment but I would not go as far as to say that this is an unavoidable conclusion. </w:t>
      </w:r>
      <w:r w:rsidR="00164B74">
        <w:t>More is required in order for this Court to come to such a conclusion.</w:t>
      </w:r>
    </w:p>
    <w:p w:rsidR="002A364D" w:rsidRDefault="009A5814" w:rsidP="009474C6">
      <w:pPr>
        <w:pStyle w:val="JudgmentText"/>
      </w:pPr>
      <w:r>
        <w:t xml:space="preserve">At paragraph 24 of his affidavit  VZ states that </w:t>
      </w:r>
      <w:r w:rsidRPr="004577AD">
        <w:rPr>
          <w:i/>
        </w:rPr>
        <w:t xml:space="preserve">“there is a </w:t>
      </w:r>
      <w:r w:rsidRPr="004577AD">
        <w:rPr>
          <w:b/>
          <w:i/>
        </w:rPr>
        <w:t>strong likelihood</w:t>
      </w:r>
      <w:r w:rsidRPr="004577AD">
        <w:rPr>
          <w:i/>
        </w:rPr>
        <w:t xml:space="preserve"> that </w:t>
      </w:r>
      <w:r w:rsidRPr="004577AD">
        <w:rPr>
          <w:b/>
          <w:i/>
        </w:rPr>
        <w:t>if</w:t>
      </w:r>
      <w:r w:rsidRPr="004577AD">
        <w:rPr>
          <w:i/>
        </w:rPr>
        <w:t xml:space="preserve"> VIJAY is not the one carrying out the construction works on its project sites, then the Respondents 2</w:t>
      </w:r>
      <w:r w:rsidRPr="004577AD">
        <w:rPr>
          <w:i/>
          <w:vertAlign w:val="superscript"/>
        </w:rPr>
        <w:t>nd</w:t>
      </w:r>
      <w:r w:rsidRPr="004577AD">
        <w:rPr>
          <w:i/>
        </w:rPr>
        <w:t xml:space="preserve"> – 5</w:t>
      </w:r>
      <w:r w:rsidRPr="004577AD">
        <w:rPr>
          <w:i/>
          <w:vertAlign w:val="superscript"/>
        </w:rPr>
        <w:t>th</w:t>
      </w:r>
      <w:r w:rsidRPr="004577AD">
        <w:rPr>
          <w:i/>
        </w:rPr>
        <w:t xml:space="preserve"> </w:t>
      </w:r>
      <w:r w:rsidRPr="004577AD">
        <w:rPr>
          <w:b/>
          <w:i/>
        </w:rPr>
        <w:t>would have</w:t>
      </w:r>
      <w:r w:rsidRPr="004577AD">
        <w:rPr>
          <w:i/>
        </w:rPr>
        <w:t xml:space="preserve"> initiated transfer of VIJAY plants/machineries and equipment and its workers to another company that is related to the VIJAY or transferred its said plants/machineries and equipment and the gainful employment permit in respect of its foreign workers to another company under an agreement between VIJAY and that other company”</w:t>
      </w:r>
      <w:r>
        <w:t>. The wording of this paragraph shows that VZ is not sure that it is Vijay carrying out works on the site</w:t>
      </w:r>
      <w:r w:rsidR="004577AD">
        <w:t xml:space="preserve">s as previously stated. </w:t>
      </w:r>
      <w:r w:rsidR="004577AD" w:rsidRPr="009474C6">
        <w:t xml:space="preserve">VZ has also not supported by any evidence </w:t>
      </w:r>
      <w:r w:rsidR="009474C6" w:rsidRPr="009474C6">
        <w:t>his averment of t</w:t>
      </w:r>
      <w:r w:rsidR="004577AD" w:rsidRPr="009474C6">
        <w:t xml:space="preserve">he transfer of VIJAY plants/machineries and equipment and its workers to another company </w:t>
      </w:r>
      <w:r w:rsidR="009474C6" w:rsidRPr="009474C6">
        <w:t xml:space="preserve">either related to VIJAY (presumably VIJAY2) </w:t>
      </w:r>
      <w:r w:rsidR="001E3C08">
        <w:t xml:space="preserve">or </w:t>
      </w:r>
      <w:r w:rsidR="004577AD" w:rsidRPr="009474C6">
        <w:t xml:space="preserve">to another company under an agreement </w:t>
      </w:r>
      <w:r w:rsidR="009474C6" w:rsidRPr="009474C6">
        <w:t>between Vijay and such company.</w:t>
      </w:r>
      <w:r w:rsidR="009474C6">
        <w:t xml:space="preserve"> </w:t>
      </w:r>
    </w:p>
    <w:p w:rsidR="009474C6" w:rsidRDefault="009474C6" w:rsidP="009474C6">
      <w:pPr>
        <w:pStyle w:val="JudgmentText"/>
      </w:pPr>
      <w:r>
        <w:t>In VIJAYS’ defence,</w:t>
      </w:r>
      <w:r w:rsidRPr="009474C6">
        <w:t xml:space="preserve"> </w:t>
      </w:r>
      <w:r>
        <w:t>VJP states at paragraph 19 of his affidavit that all ongoing contracts were terminated by the clients</w:t>
      </w:r>
      <w:r w:rsidR="00450166">
        <w:t>,</w:t>
      </w:r>
      <w:r>
        <w:t xml:space="preserve"> </w:t>
      </w:r>
      <w:r w:rsidR="00450166">
        <w:t>VIJAY’s</w:t>
      </w:r>
      <w:r>
        <w:t xml:space="preserve"> workers were legally employed by a new company which has nothing to do with V</w:t>
      </w:r>
      <w:r w:rsidR="00450166">
        <w:t>IJAY, and e</w:t>
      </w:r>
      <w:r>
        <w:t xml:space="preserve">quipment on sites were retained by the clients in accordance with the provisions of the construction contracts in order to complete the works. </w:t>
      </w:r>
      <w:r w:rsidR="00450166">
        <w:t>He avers that o</w:t>
      </w:r>
      <w:r>
        <w:t xml:space="preserve">nly one of the ongoing contracts </w:t>
      </w:r>
      <w:r w:rsidR="00450166">
        <w:t xml:space="preserve">with the Government </w:t>
      </w:r>
      <w:r>
        <w:t>which had been terminated</w:t>
      </w:r>
      <w:r w:rsidR="00450166">
        <w:t>,</w:t>
      </w:r>
      <w:r>
        <w:t xml:space="preserve"> w</w:t>
      </w:r>
      <w:r w:rsidR="00450166">
        <w:t>as</w:t>
      </w:r>
      <w:r>
        <w:t xml:space="preserve"> awarded to </w:t>
      </w:r>
      <w:r w:rsidR="00450166">
        <w:t>VIJAY2</w:t>
      </w:r>
      <w:r>
        <w:t xml:space="preserve"> for completion</w:t>
      </w:r>
      <w:r w:rsidR="00CE1CFA">
        <w:t xml:space="preserve">. Moreover, </w:t>
      </w:r>
      <w:r w:rsidR="00450166">
        <w:t xml:space="preserve">VIJAY2 </w:t>
      </w:r>
      <w:r w:rsidR="006233DA">
        <w:t xml:space="preserve">had </w:t>
      </w:r>
      <w:r w:rsidR="00450166">
        <w:t>ap</w:t>
      </w:r>
      <w:r>
        <w:t>plied to the Government to employ some of the workers of V</w:t>
      </w:r>
      <w:r w:rsidR="00CE1CFA">
        <w:t>IJAY</w:t>
      </w:r>
      <w:r>
        <w:t xml:space="preserve"> and in fact took over about 200 of the complement of approximately 1600 workers previously employed by </w:t>
      </w:r>
      <w:r w:rsidR="00CE1CFA">
        <w:t>the latter</w:t>
      </w:r>
      <w:r>
        <w:t xml:space="preserve">. </w:t>
      </w:r>
      <w:r w:rsidR="00450166">
        <w:t xml:space="preserve">No documentary evidence was produced in support of these averments </w:t>
      </w:r>
      <w:r w:rsidR="002A364D">
        <w:t>but I note that it is up to the applicant to prove its case and in this present matter show that such acts amounts to contempt as alleged in the Notice of Motion.</w:t>
      </w:r>
    </w:p>
    <w:p w:rsidR="002A364D" w:rsidRDefault="005F37EF" w:rsidP="009474C6">
      <w:pPr>
        <w:pStyle w:val="JudgmentText"/>
      </w:pPr>
      <w:r>
        <w:lastRenderedPageBreak/>
        <w:t>At paragraph 25 (a) to (e) of his affidavit VZ sets out several instances which he alleges shows repeated bad faith on the part of the 2</w:t>
      </w:r>
      <w:r w:rsidRPr="005F37EF">
        <w:rPr>
          <w:vertAlign w:val="superscript"/>
        </w:rPr>
        <w:t>nd</w:t>
      </w:r>
      <w:r>
        <w:t xml:space="preserve"> – 5</w:t>
      </w:r>
      <w:r w:rsidRPr="005F37EF">
        <w:rPr>
          <w:vertAlign w:val="superscript"/>
        </w:rPr>
        <w:t>th</w:t>
      </w:r>
      <w:r>
        <w:t xml:space="preserve"> respondents.</w:t>
      </w:r>
      <w:r w:rsidR="00EA352B">
        <w:t xml:space="preserve"> Although bad faith is evident in some of these acts,</w:t>
      </w:r>
      <w:r>
        <w:t xml:space="preserve"> </w:t>
      </w:r>
      <w:r w:rsidR="00EA352B">
        <w:t>they do not in my view amount to contempt in the sense of having “</w:t>
      </w:r>
      <w:r w:rsidR="00EA352B" w:rsidRPr="0039076E">
        <w:rPr>
          <w:b/>
        </w:rPr>
        <w:t>misled and/or given misleading information and evidence to the Court and acted in contempt of this Court</w:t>
      </w:r>
      <w:r w:rsidR="00EA352B">
        <w:rPr>
          <w:b/>
        </w:rPr>
        <w:t xml:space="preserve">”. </w:t>
      </w:r>
      <w:r w:rsidR="00EA352B" w:rsidRPr="00EA352B">
        <w:t>They are more in the nature of acts tending</w:t>
      </w:r>
      <w:r w:rsidR="00EA352B">
        <w:t xml:space="preserve"> to</w:t>
      </w:r>
      <w:r w:rsidR="00EA352B" w:rsidRPr="00EA352B">
        <w:t xml:space="preserve"> avoid </w:t>
      </w:r>
      <w:r w:rsidR="00EA352B">
        <w:t xml:space="preserve">satisfying the judgment debt. </w:t>
      </w:r>
    </w:p>
    <w:p w:rsidR="00EB54EB" w:rsidRDefault="001E3C08" w:rsidP="009474C6">
      <w:pPr>
        <w:pStyle w:val="JudgmentText"/>
      </w:pPr>
      <w:r>
        <w:t>In the circumstances, I do not find that the applicant has proved contempt on the part of VIJAY as pleaded in the Notice of Motion.  Accordingly t</w:t>
      </w:r>
      <w:r w:rsidR="00EB54EB">
        <w:t>he Notice of Motion is dismissed with costs.</w:t>
      </w:r>
    </w:p>
    <w:p w:rsidR="00C30D12" w:rsidRDefault="00C30D12" w:rsidP="00EB54EB">
      <w:pPr>
        <w:pStyle w:val="JudgmentText"/>
        <w:numPr>
          <w:ilvl w:val="0"/>
          <w:numId w:val="0"/>
        </w:numPr>
      </w:pPr>
    </w:p>
    <w:p w:rsidR="002438C1" w:rsidRDefault="0093767F" w:rsidP="001A06F2">
      <w:pPr>
        <w:pStyle w:val="JudgmentText"/>
        <w:numPr>
          <w:ilvl w:val="0"/>
          <w:numId w:val="0"/>
        </w:numPr>
        <w:ind w:left="720" w:hanging="720"/>
      </w:pPr>
      <w:r>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841C9D">
        <w:rPr>
          <w:rFonts w:ascii="Times New Roman" w:hAnsi="Times New Roman" w:cs="Times New Roman"/>
          <w:sz w:val="24"/>
          <w:szCs w:val="24"/>
        </w:rPr>
        <w:t xml:space="preserve">on </w:t>
      </w:r>
      <w:r w:rsidR="00EB54EB">
        <w:rPr>
          <w:rFonts w:ascii="Times New Roman" w:hAnsi="Times New Roman" w:cs="Times New Roman"/>
          <w:sz w:val="24"/>
          <w:szCs w:val="24"/>
        </w:rPr>
        <w:t>2</w:t>
      </w:r>
      <w:r w:rsidR="00EB54EB" w:rsidRPr="00EB54EB">
        <w:rPr>
          <w:rFonts w:ascii="Times New Roman" w:hAnsi="Times New Roman" w:cs="Times New Roman"/>
          <w:sz w:val="24"/>
          <w:szCs w:val="24"/>
          <w:vertAlign w:val="superscript"/>
        </w:rPr>
        <w:t>nd</w:t>
      </w:r>
      <w:r w:rsidR="00EB54EB">
        <w:rPr>
          <w:rFonts w:ascii="Times New Roman" w:hAnsi="Times New Roman" w:cs="Times New Roman"/>
          <w:sz w:val="24"/>
          <w:szCs w:val="24"/>
        </w:rPr>
        <w:t xml:space="preserve"> December</w:t>
      </w:r>
      <w:r w:rsidR="00E7597A">
        <w:rPr>
          <w:rFonts w:ascii="Times New Roman" w:hAnsi="Times New Roman" w:cs="Times New Roman"/>
          <w:sz w:val="24"/>
          <w:szCs w:val="24"/>
        </w:rPr>
        <w:t xml:space="preserve"> 202</w:t>
      </w:r>
      <w:r w:rsidR="00E5709D">
        <w:rPr>
          <w:rFonts w:ascii="Times New Roman" w:hAnsi="Times New Roman" w:cs="Times New Roman"/>
          <w:sz w:val="24"/>
          <w:szCs w:val="24"/>
        </w:rPr>
        <w:t>2</w:t>
      </w:r>
      <w:r w:rsidR="004D0082">
        <w:rPr>
          <w:rFonts w:ascii="Times New Roman" w:hAnsi="Times New Roman" w:cs="Times New Roman"/>
          <w:sz w:val="24"/>
          <w:szCs w:val="24"/>
        </w:rPr>
        <w:t xml:space="preserve">   </w:t>
      </w:r>
      <w:r w:rsidR="00EF13E2">
        <w:rPr>
          <w:rFonts w:ascii="Times New Roman" w:hAnsi="Times New Roman" w:cs="Times New Roman"/>
          <w:sz w:val="24"/>
          <w:szCs w:val="24"/>
        </w:rPr>
        <w:t xml:space="preserve"> </w:t>
      </w:r>
    </w:p>
    <w:p w:rsidR="00235626" w:rsidRPr="004A2599" w:rsidRDefault="00235626"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3805A4" w:rsidRDefault="003805A4"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Default="00841C9D" w:rsidP="008577B7">
      <w:pPr>
        <w:keepNext/>
        <w:rPr>
          <w:rFonts w:ascii="Times New Roman" w:hAnsi="Times New Roman" w:cs="Times New Roman"/>
          <w:sz w:val="24"/>
          <w:szCs w:val="24"/>
        </w:rPr>
      </w:pPr>
      <w:r>
        <w:rPr>
          <w:rFonts w:ascii="Times New Roman" w:hAnsi="Times New Roman" w:cs="Times New Roman"/>
          <w:sz w:val="24"/>
          <w:szCs w:val="24"/>
        </w:rPr>
        <w:t>E. Carolus</w:t>
      </w:r>
      <w:r w:rsidR="0070371E">
        <w:rPr>
          <w:rFonts w:ascii="Times New Roman" w:hAnsi="Times New Roman" w:cs="Times New Roman"/>
          <w:sz w:val="24"/>
          <w:szCs w:val="24"/>
        </w:rPr>
        <w:t xml:space="preserve"> J</w:t>
      </w: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0E" w:rsidRDefault="00EB1E0E" w:rsidP="006A68E2">
      <w:pPr>
        <w:spacing w:after="0" w:line="240" w:lineRule="auto"/>
      </w:pPr>
      <w:r>
        <w:separator/>
      </w:r>
    </w:p>
  </w:endnote>
  <w:endnote w:type="continuationSeparator" w:id="0">
    <w:p w:rsidR="00EB1E0E" w:rsidRDefault="00EB1E0E"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967543" w:rsidRDefault="00967543">
        <w:pPr>
          <w:pStyle w:val="Footer"/>
          <w:jc w:val="center"/>
        </w:pPr>
        <w:r>
          <w:fldChar w:fldCharType="begin"/>
        </w:r>
        <w:r>
          <w:instrText xml:space="preserve"> PAGE   \* MERGEFORMAT </w:instrText>
        </w:r>
        <w:r>
          <w:fldChar w:fldCharType="separate"/>
        </w:r>
        <w:r w:rsidR="00BE0D92">
          <w:rPr>
            <w:noProof/>
          </w:rPr>
          <w:t>18</w:t>
        </w:r>
        <w:r>
          <w:rPr>
            <w:noProof/>
          </w:rPr>
          <w:fldChar w:fldCharType="end"/>
        </w:r>
      </w:p>
    </w:sdtContent>
  </w:sdt>
  <w:p w:rsidR="00967543" w:rsidRDefault="009675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0E" w:rsidRDefault="00EB1E0E" w:rsidP="006A68E2">
      <w:pPr>
        <w:spacing w:after="0" w:line="240" w:lineRule="auto"/>
      </w:pPr>
      <w:r>
        <w:separator/>
      </w:r>
    </w:p>
  </w:footnote>
  <w:footnote w:type="continuationSeparator" w:id="0">
    <w:p w:rsidR="00EB1E0E" w:rsidRDefault="00EB1E0E"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482A421A"/>
    <w:multiLevelType w:val="hybridMultilevel"/>
    <w:tmpl w:val="59F0E412"/>
    <w:lvl w:ilvl="0" w:tplc="31E0BC34">
      <w:start w:val="1"/>
      <w:numFmt w:val="lowerLetter"/>
      <w:pStyle w:val="NumberedQuotationindent1"/>
      <w:lvlText w:val="(%1)"/>
      <w:lvlJc w:val="left"/>
      <w:pPr>
        <w:ind w:left="1080" w:hanging="360"/>
      </w:pPr>
      <w:rPr>
        <w:rFonts w:ascii="Times New Roman" w:eastAsiaTheme="minorHAnsi" w:hAnsi="Times New Roman" w:cs="Times New Roman"/>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2001616">
      <w:start w:val="7"/>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8610E9"/>
    <w:multiLevelType w:val="hybridMultilevel"/>
    <w:tmpl w:val="BBA2CC6E"/>
    <w:lvl w:ilvl="0" w:tplc="3B662E60">
      <w:start w:val="3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E326F"/>
    <w:multiLevelType w:val="multilevel"/>
    <w:tmpl w:val="8C74C6A0"/>
    <w:lvl w:ilvl="0">
      <w:start w:val="37"/>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883269"/>
    <w:multiLevelType w:val="multilevel"/>
    <w:tmpl w:val="96C23402"/>
    <w:lvl w:ilvl="0">
      <w:start w:val="35"/>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3"/>
  </w:num>
  <w:num w:numId="5">
    <w:abstractNumId w:val="3"/>
    <w:lvlOverride w:ilvl="0">
      <w:startOverride w:val="1"/>
    </w:lvlOverride>
  </w:num>
  <w:num w:numId="6">
    <w:abstractNumId w:val="1"/>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29"/>
      <w:lvl w:ilvl="3">
        <w:start w:val="29"/>
        <w:numFmt w:val="decimal"/>
        <w:lvlText w:val="%4."/>
        <w:lvlJc w:val="left"/>
        <w:pPr>
          <w:ind w:left="2880" w:hanging="720"/>
        </w:pPr>
        <w:rPr>
          <w:rFonts w:hint="default"/>
        </w:rPr>
      </w:lvl>
    </w:lvlOverride>
  </w:num>
  <w:num w:numId="7">
    <w:abstractNumId w:val="4"/>
  </w:num>
  <w:num w:numId="8">
    <w:abstractNumId w:val="1"/>
    <w:lvlOverride w:ilvl="0">
      <w:startOverride w:val="47"/>
      <w:lvl w:ilvl="0">
        <w:start w:val="47"/>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33"/>
      <w:lvl w:ilvl="3">
        <w:start w:val="33"/>
        <w:numFmt w:val="decimal"/>
        <w:lvlText w:val="%4."/>
        <w:lvlJc w:val="left"/>
        <w:pPr>
          <w:ind w:left="2880" w:hanging="720"/>
        </w:pPr>
        <w:rPr>
          <w:rFonts w:ascii="Times New Roman" w:hAnsi="Times New Roman" w:cs="Times New Roman" w:hint="default"/>
          <w:sz w:val="24"/>
          <w:szCs w:val="24"/>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FA"/>
    <w:rsid w:val="00005231"/>
    <w:rsid w:val="000069A6"/>
    <w:rsid w:val="00007661"/>
    <w:rsid w:val="000137D0"/>
    <w:rsid w:val="00015C7D"/>
    <w:rsid w:val="00025728"/>
    <w:rsid w:val="00025CDF"/>
    <w:rsid w:val="00030CC2"/>
    <w:rsid w:val="00031B76"/>
    <w:rsid w:val="00032B14"/>
    <w:rsid w:val="000344A6"/>
    <w:rsid w:val="00040193"/>
    <w:rsid w:val="00043371"/>
    <w:rsid w:val="000433FA"/>
    <w:rsid w:val="0005134E"/>
    <w:rsid w:val="00056116"/>
    <w:rsid w:val="0005728C"/>
    <w:rsid w:val="000639EF"/>
    <w:rsid w:val="000719C8"/>
    <w:rsid w:val="00071B84"/>
    <w:rsid w:val="00073449"/>
    <w:rsid w:val="0008560D"/>
    <w:rsid w:val="00087DBF"/>
    <w:rsid w:val="0009242F"/>
    <w:rsid w:val="00093A56"/>
    <w:rsid w:val="000966A0"/>
    <w:rsid w:val="00097D19"/>
    <w:rsid w:val="000A43B6"/>
    <w:rsid w:val="000A6BFA"/>
    <w:rsid w:val="000B3B32"/>
    <w:rsid w:val="000B6715"/>
    <w:rsid w:val="000C35E0"/>
    <w:rsid w:val="000C3823"/>
    <w:rsid w:val="000D158D"/>
    <w:rsid w:val="000E1274"/>
    <w:rsid w:val="000E344D"/>
    <w:rsid w:val="000E35B1"/>
    <w:rsid w:val="000E5EDF"/>
    <w:rsid w:val="000F2563"/>
    <w:rsid w:val="000F6D83"/>
    <w:rsid w:val="00101534"/>
    <w:rsid w:val="00102805"/>
    <w:rsid w:val="0010513E"/>
    <w:rsid w:val="00111260"/>
    <w:rsid w:val="001135C2"/>
    <w:rsid w:val="00123B80"/>
    <w:rsid w:val="00132983"/>
    <w:rsid w:val="00133DCF"/>
    <w:rsid w:val="001357D0"/>
    <w:rsid w:val="001428B9"/>
    <w:rsid w:val="00143FA2"/>
    <w:rsid w:val="00146AB7"/>
    <w:rsid w:val="00147C58"/>
    <w:rsid w:val="00155AFB"/>
    <w:rsid w:val="00162D47"/>
    <w:rsid w:val="00162E7F"/>
    <w:rsid w:val="0016499D"/>
    <w:rsid w:val="00164B74"/>
    <w:rsid w:val="001653BA"/>
    <w:rsid w:val="00171295"/>
    <w:rsid w:val="001723B1"/>
    <w:rsid w:val="00182B65"/>
    <w:rsid w:val="0018692A"/>
    <w:rsid w:val="00191F59"/>
    <w:rsid w:val="00194840"/>
    <w:rsid w:val="00194D6C"/>
    <w:rsid w:val="001A06F2"/>
    <w:rsid w:val="001B1CB8"/>
    <w:rsid w:val="001C0DD4"/>
    <w:rsid w:val="001C1344"/>
    <w:rsid w:val="001C3F52"/>
    <w:rsid w:val="001C445B"/>
    <w:rsid w:val="001C5B5D"/>
    <w:rsid w:val="001C659B"/>
    <w:rsid w:val="001C78EC"/>
    <w:rsid w:val="001D33D2"/>
    <w:rsid w:val="001D5E1C"/>
    <w:rsid w:val="001D7374"/>
    <w:rsid w:val="001E0077"/>
    <w:rsid w:val="001E14C3"/>
    <w:rsid w:val="001E3C08"/>
    <w:rsid w:val="001E6281"/>
    <w:rsid w:val="001F7CB2"/>
    <w:rsid w:val="002015F8"/>
    <w:rsid w:val="002034B9"/>
    <w:rsid w:val="00211B3B"/>
    <w:rsid w:val="00212006"/>
    <w:rsid w:val="0021402A"/>
    <w:rsid w:val="00214DB4"/>
    <w:rsid w:val="00217402"/>
    <w:rsid w:val="00220AC4"/>
    <w:rsid w:val="002212CF"/>
    <w:rsid w:val="00224B42"/>
    <w:rsid w:val="0022671E"/>
    <w:rsid w:val="002349AF"/>
    <w:rsid w:val="00235626"/>
    <w:rsid w:val="002368F8"/>
    <w:rsid w:val="00240A40"/>
    <w:rsid w:val="002438C1"/>
    <w:rsid w:val="00243AE1"/>
    <w:rsid w:val="0024664D"/>
    <w:rsid w:val="00253BF5"/>
    <w:rsid w:val="00255763"/>
    <w:rsid w:val="00260CB0"/>
    <w:rsid w:val="002627C6"/>
    <w:rsid w:val="002702F7"/>
    <w:rsid w:val="00280EDF"/>
    <w:rsid w:val="002A364D"/>
    <w:rsid w:val="002A521E"/>
    <w:rsid w:val="002A6904"/>
    <w:rsid w:val="002A7A5F"/>
    <w:rsid w:val="002B43A5"/>
    <w:rsid w:val="002B7091"/>
    <w:rsid w:val="002B757B"/>
    <w:rsid w:val="002C0FB1"/>
    <w:rsid w:val="002D30F3"/>
    <w:rsid w:val="002D4EB8"/>
    <w:rsid w:val="002D59D4"/>
    <w:rsid w:val="002D6877"/>
    <w:rsid w:val="002E2AA3"/>
    <w:rsid w:val="002E2AE3"/>
    <w:rsid w:val="002E3F37"/>
    <w:rsid w:val="002F6D79"/>
    <w:rsid w:val="00302704"/>
    <w:rsid w:val="003137B8"/>
    <w:rsid w:val="003140B8"/>
    <w:rsid w:val="00320AB8"/>
    <w:rsid w:val="00320DE3"/>
    <w:rsid w:val="00321270"/>
    <w:rsid w:val="00336D45"/>
    <w:rsid w:val="003427D7"/>
    <w:rsid w:val="00344425"/>
    <w:rsid w:val="00346D7F"/>
    <w:rsid w:val="003540A8"/>
    <w:rsid w:val="003615E7"/>
    <w:rsid w:val="0036366C"/>
    <w:rsid w:val="00364ACB"/>
    <w:rsid w:val="003707B6"/>
    <w:rsid w:val="00376240"/>
    <w:rsid w:val="003805A4"/>
    <w:rsid w:val="00380619"/>
    <w:rsid w:val="003822BF"/>
    <w:rsid w:val="00387010"/>
    <w:rsid w:val="0039076E"/>
    <w:rsid w:val="003911FD"/>
    <w:rsid w:val="00392CF2"/>
    <w:rsid w:val="00394A70"/>
    <w:rsid w:val="003A2CE8"/>
    <w:rsid w:val="003A462F"/>
    <w:rsid w:val="003A5759"/>
    <w:rsid w:val="003A6C9E"/>
    <w:rsid w:val="003B0FE3"/>
    <w:rsid w:val="003B1735"/>
    <w:rsid w:val="003B548A"/>
    <w:rsid w:val="003B6ED2"/>
    <w:rsid w:val="003C1668"/>
    <w:rsid w:val="003C3D1E"/>
    <w:rsid w:val="003C449A"/>
    <w:rsid w:val="003C7F12"/>
    <w:rsid w:val="003D2AAE"/>
    <w:rsid w:val="003D7A4B"/>
    <w:rsid w:val="003E23DA"/>
    <w:rsid w:val="003E2E94"/>
    <w:rsid w:val="003F182B"/>
    <w:rsid w:val="003F3A3D"/>
    <w:rsid w:val="003F6F76"/>
    <w:rsid w:val="00400D2E"/>
    <w:rsid w:val="00400D64"/>
    <w:rsid w:val="00403E61"/>
    <w:rsid w:val="00403F4C"/>
    <w:rsid w:val="004046A6"/>
    <w:rsid w:val="00405958"/>
    <w:rsid w:val="004064CF"/>
    <w:rsid w:val="00412994"/>
    <w:rsid w:val="00413AE5"/>
    <w:rsid w:val="004176DF"/>
    <w:rsid w:val="00417DE1"/>
    <w:rsid w:val="00421C90"/>
    <w:rsid w:val="0042529F"/>
    <w:rsid w:val="00434EA7"/>
    <w:rsid w:val="004425AE"/>
    <w:rsid w:val="00450166"/>
    <w:rsid w:val="00452CF4"/>
    <w:rsid w:val="00456392"/>
    <w:rsid w:val="004577AD"/>
    <w:rsid w:val="00463B4E"/>
    <w:rsid w:val="00472219"/>
    <w:rsid w:val="004747A1"/>
    <w:rsid w:val="0047557A"/>
    <w:rsid w:val="00475B29"/>
    <w:rsid w:val="00477B8F"/>
    <w:rsid w:val="00482D1A"/>
    <w:rsid w:val="00484293"/>
    <w:rsid w:val="00484E7C"/>
    <w:rsid w:val="00490D2B"/>
    <w:rsid w:val="00494210"/>
    <w:rsid w:val="00497369"/>
    <w:rsid w:val="004A2599"/>
    <w:rsid w:val="004A4350"/>
    <w:rsid w:val="004A44BC"/>
    <w:rsid w:val="004A70A5"/>
    <w:rsid w:val="004B0D14"/>
    <w:rsid w:val="004B141E"/>
    <w:rsid w:val="004B6839"/>
    <w:rsid w:val="004C16E0"/>
    <w:rsid w:val="004D0082"/>
    <w:rsid w:val="004D56E3"/>
    <w:rsid w:val="004D5A2D"/>
    <w:rsid w:val="004E4522"/>
    <w:rsid w:val="004E633D"/>
    <w:rsid w:val="004E6734"/>
    <w:rsid w:val="005020B5"/>
    <w:rsid w:val="00504096"/>
    <w:rsid w:val="00504FD3"/>
    <w:rsid w:val="00506B14"/>
    <w:rsid w:val="00511ECE"/>
    <w:rsid w:val="00515232"/>
    <w:rsid w:val="00517554"/>
    <w:rsid w:val="005259E1"/>
    <w:rsid w:val="00525C4C"/>
    <w:rsid w:val="00535AE5"/>
    <w:rsid w:val="0054190F"/>
    <w:rsid w:val="00547264"/>
    <w:rsid w:val="00547CED"/>
    <w:rsid w:val="005543A9"/>
    <w:rsid w:val="005550FC"/>
    <w:rsid w:val="00563C59"/>
    <w:rsid w:val="00566963"/>
    <w:rsid w:val="00575222"/>
    <w:rsid w:val="00594996"/>
    <w:rsid w:val="005A2B7E"/>
    <w:rsid w:val="005A5FCB"/>
    <w:rsid w:val="005B12AA"/>
    <w:rsid w:val="005B4C04"/>
    <w:rsid w:val="005B574B"/>
    <w:rsid w:val="005C718A"/>
    <w:rsid w:val="005C7D16"/>
    <w:rsid w:val="005D057A"/>
    <w:rsid w:val="005F37EF"/>
    <w:rsid w:val="005F610D"/>
    <w:rsid w:val="00603A46"/>
    <w:rsid w:val="00605D5D"/>
    <w:rsid w:val="0061354A"/>
    <w:rsid w:val="006211F1"/>
    <w:rsid w:val="00622408"/>
    <w:rsid w:val="006233DA"/>
    <w:rsid w:val="00630191"/>
    <w:rsid w:val="00635504"/>
    <w:rsid w:val="0064108F"/>
    <w:rsid w:val="00644EDA"/>
    <w:rsid w:val="00650354"/>
    <w:rsid w:val="006507ED"/>
    <w:rsid w:val="006515B8"/>
    <w:rsid w:val="00652326"/>
    <w:rsid w:val="00652A46"/>
    <w:rsid w:val="00653121"/>
    <w:rsid w:val="0065360A"/>
    <w:rsid w:val="00654901"/>
    <w:rsid w:val="00656058"/>
    <w:rsid w:val="006577BC"/>
    <w:rsid w:val="00657D75"/>
    <w:rsid w:val="00662CEA"/>
    <w:rsid w:val="0066682F"/>
    <w:rsid w:val="0067470D"/>
    <w:rsid w:val="006822A9"/>
    <w:rsid w:val="006828D3"/>
    <w:rsid w:val="00684A33"/>
    <w:rsid w:val="006960D8"/>
    <w:rsid w:val="0069705F"/>
    <w:rsid w:val="006A4498"/>
    <w:rsid w:val="006A68E2"/>
    <w:rsid w:val="006B6AE2"/>
    <w:rsid w:val="006C226F"/>
    <w:rsid w:val="006D37FB"/>
    <w:rsid w:val="006D7003"/>
    <w:rsid w:val="006E27B8"/>
    <w:rsid w:val="006E4507"/>
    <w:rsid w:val="006E77B6"/>
    <w:rsid w:val="00702D3F"/>
    <w:rsid w:val="0070371E"/>
    <w:rsid w:val="007044FD"/>
    <w:rsid w:val="00704E6E"/>
    <w:rsid w:val="00721583"/>
    <w:rsid w:val="00721A39"/>
    <w:rsid w:val="00722761"/>
    <w:rsid w:val="00725062"/>
    <w:rsid w:val="00727A33"/>
    <w:rsid w:val="007303F0"/>
    <w:rsid w:val="00731585"/>
    <w:rsid w:val="007324EE"/>
    <w:rsid w:val="007325CE"/>
    <w:rsid w:val="00740941"/>
    <w:rsid w:val="0074302B"/>
    <w:rsid w:val="00747D6F"/>
    <w:rsid w:val="007544D3"/>
    <w:rsid w:val="00756D06"/>
    <w:rsid w:val="0076021F"/>
    <w:rsid w:val="00766C12"/>
    <w:rsid w:val="0076728C"/>
    <w:rsid w:val="007675AC"/>
    <w:rsid w:val="00774994"/>
    <w:rsid w:val="00785311"/>
    <w:rsid w:val="00791BBD"/>
    <w:rsid w:val="00796B89"/>
    <w:rsid w:val="00797F99"/>
    <w:rsid w:val="007A0663"/>
    <w:rsid w:val="007A130D"/>
    <w:rsid w:val="007A3DF7"/>
    <w:rsid w:val="007A70E3"/>
    <w:rsid w:val="007B3D3B"/>
    <w:rsid w:val="007C2255"/>
    <w:rsid w:val="007C2D9D"/>
    <w:rsid w:val="007C6495"/>
    <w:rsid w:val="007D25FE"/>
    <w:rsid w:val="007D6926"/>
    <w:rsid w:val="007F035E"/>
    <w:rsid w:val="008001C8"/>
    <w:rsid w:val="008139AF"/>
    <w:rsid w:val="00816758"/>
    <w:rsid w:val="0082153D"/>
    <w:rsid w:val="00821562"/>
    <w:rsid w:val="00834675"/>
    <w:rsid w:val="00841C9D"/>
    <w:rsid w:val="008440F8"/>
    <w:rsid w:val="008554F1"/>
    <w:rsid w:val="008568B7"/>
    <w:rsid w:val="008577B7"/>
    <w:rsid w:val="00861813"/>
    <w:rsid w:val="00861A61"/>
    <w:rsid w:val="00861A7B"/>
    <w:rsid w:val="008643BC"/>
    <w:rsid w:val="0087749A"/>
    <w:rsid w:val="00880136"/>
    <w:rsid w:val="008810F9"/>
    <w:rsid w:val="00881128"/>
    <w:rsid w:val="00882FB9"/>
    <w:rsid w:val="00891822"/>
    <w:rsid w:val="008A06E7"/>
    <w:rsid w:val="008A1EF1"/>
    <w:rsid w:val="008A495A"/>
    <w:rsid w:val="008A573C"/>
    <w:rsid w:val="008A7541"/>
    <w:rsid w:val="008A7A57"/>
    <w:rsid w:val="008B14DF"/>
    <w:rsid w:val="008B6D09"/>
    <w:rsid w:val="008C12AC"/>
    <w:rsid w:val="008C12FB"/>
    <w:rsid w:val="008C304A"/>
    <w:rsid w:val="008C60A1"/>
    <w:rsid w:val="008D5A49"/>
    <w:rsid w:val="008D6AD0"/>
    <w:rsid w:val="008E1868"/>
    <w:rsid w:val="008E4808"/>
    <w:rsid w:val="008E771B"/>
    <w:rsid w:val="008F4466"/>
    <w:rsid w:val="00904BF8"/>
    <w:rsid w:val="009117AC"/>
    <w:rsid w:val="00915EEE"/>
    <w:rsid w:val="009203BD"/>
    <w:rsid w:val="0093381D"/>
    <w:rsid w:val="0093767F"/>
    <w:rsid w:val="00940E0D"/>
    <w:rsid w:val="00946675"/>
    <w:rsid w:val="009474C6"/>
    <w:rsid w:val="00952BF0"/>
    <w:rsid w:val="009539C2"/>
    <w:rsid w:val="00957FCA"/>
    <w:rsid w:val="00962387"/>
    <w:rsid w:val="0096293B"/>
    <w:rsid w:val="00963684"/>
    <w:rsid w:val="00967543"/>
    <w:rsid w:val="009740E0"/>
    <w:rsid w:val="00975028"/>
    <w:rsid w:val="00977F41"/>
    <w:rsid w:val="0099449D"/>
    <w:rsid w:val="0099492C"/>
    <w:rsid w:val="009A0779"/>
    <w:rsid w:val="009A571D"/>
    <w:rsid w:val="009A5814"/>
    <w:rsid w:val="009A769C"/>
    <w:rsid w:val="009B0B0E"/>
    <w:rsid w:val="009B350D"/>
    <w:rsid w:val="009B495E"/>
    <w:rsid w:val="009B6D8E"/>
    <w:rsid w:val="009B7CDB"/>
    <w:rsid w:val="009C20BE"/>
    <w:rsid w:val="009C4C3E"/>
    <w:rsid w:val="009C7C7E"/>
    <w:rsid w:val="009D0216"/>
    <w:rsid w:val="009E01C1"/>
    <w:rsid w:val="009E0CE7"/>
    <w:rsid w:val="009E5B6F"/>
    <w:rsid w:val="009F125D"/>
    <w:rsid w:val="009F28FB"/>
    <w:rsid w:val="009F4342"/>
    <w:rsid w:val="00A05024"/>
    <w:rsid w:val="00A05038"/>
    <w:rsid w:val="00A146A0"/>
    <w:rsid w:val="00A16663"/>
    <w:rsid w:val="00A2058F"/>
    <w:rsid w:val="00A21F69"/>
    <w:rsid w:val="00A249AD"/>
    <w:rsid w:val="00A27D4D"/>
    <w:rsid w:val="00A31B0C"/>
    <w:rsid w:val="00A37C3E"/>
    <w:rsid w:val="00A42159"/>
    <w:rsid w:val="00A44EA6"/>
    <w:rsid w:val="00A52060"/>
    <w:rsid w:val="00A5224E"/>
    <w:rsid w:val="00A64D33"/>
    <w:rsid w:val="00A65846"/>
    <w:rsid w:val="00A66D5B"/>
    <w:rsid w:val="00A728D1"/>
    <w:rsid w:val="00A74766"/>
    <w:rsid w:val="00A8186B"/>
    <w:rsid w:val="00A82FE6"/>
    <w:rsid w:val="00AA08A8"/>
    <w:rsid w:val="00AA33DB"/>
    <w:rsid w:val="00AB0FFA"/>
    <w:rsid w:val="00AB1555"/>
    <w:rsid w:val="00AB2A03"/>
    <w:rsid w:val="00AB6228"/>
    <w:rsid w:val="00AB6F40"/>
    <w:rsid w:val="00AC610E"/>
    <w:rsid w:val="00AD4132"/>
    <w:rsid w:val="00AE1AAE"/>
    <w:rsid w:val="00AE60A2"/>
    <w:rsid w:val="00AF1115"/>
    <w:rsid w:val="00AF23C0"/>
    <w:rsid w:val="00B03209"/>
    <w:rsid w:val="00B035F4"/>
    <w:rsid w:val="00B16FE0"/>
    <w:rsid w:val="00B26E1A"/>
    <w:rsid w:val="00B26F13"/>
    <w:rsid w:val="00B434D8"/>
    <w:rsid w:val="00B5239F"/>
    <w:rsid w:val="00B533A5"/>
    <w:rsid w:val="00B55FE0"/>
    <w:rsid w:val="00B6436D"/>
    <w:rsid w:val="00B67DDE"/>
    <w:rsid w:val="00B67E42"/>
    <w:rsid w:val="00B70520"/>
    <w:rsid w:val="00B743C7"/>
    <w:rsid w:val="00B80566"/>
    <w:rsid w:val="00B94E94"/>
    <w:rsid w:val="00B950DF"/>
    <w:rsid w:val="00B96BD9"/>
    <w:rsid w:val="00BA0CE7"/>
    <w:rsid w:val="00BB1227"/>
    <w:rsid w:val="00BB1A3E"/>
    <w:rsid w:val="00BB48E0"/>
    <w:rsid w:val="00BB76D7"/>
    <w:rsid w:val="00BC73B1"/>
    <w:rsid w:val="00BD78AC"/>
    <w:rsid w:val="00BE04E1"/>
    <w:rsid w:val="00BE0665"/>
    <w:rsid w:val="00BE0D92"/>
    <w:rsid w:val="00BE688D"/>
    <w:rsid w:val="00BF13B6"/>
    <w:rsid w:val="00BF1942"/>
    <w:rsid w:val="00C032D4"/>
    <w:rsid w:val="00C039A1"/>
    <w:rsid w:val="00C05E4F"/>
    <w:rsid w:val="00C07B5E"/>
    <w:rsid w:val="00C1408E"/>
    <w:rsid w:val="00C14A2F"/>
    <w:rsid w:val="00C14B09"/>
    <w:rsid w:val="00C17019"/>
    <w:rsid w:val="00C1730E"/>
    <w:rsid w:val="00C20263"/>
    <w:rsid w:val="00C207E3"/>
    <w:rsid w:val="00C20913"/>
    <w:rsid w:val="00C21D54"/>
    <w:rsid w:val="00C2466E"/>
    <w:rsid w:val="00C24C93"/>
    <w:rsid w:val="00C27310"/>
    <w:rsid w:val="00C27D74"/>
    <w:rsid w:val="00C30D12"/>
    <w:rsid w:val="00C31FF3"/>
    <w:rsid w:val="00C50792"/>
    <w:rsid w:val="00C55251"/>
    <w:rsid w:val="00C64989"/>
    <w:rsid w:val="00C752F9"/>
    <w:rsid w:val="00C76095"/>
    <w:rsid w:val="00C81B21"/>
    <w:rsid w:val="00C94B6E"/>
    <w:rsid w:val="00C95587"/>
    <w:rsid w:val="00C959AA"/>
    <w:rsid w:val="00CA40E7"/>
    <w:rsid w:val="00CA7129"/>
    <w:rsid w:val="00CA7AB2"/>
    <w:rsid w:val="00CB4B15"/>
    <w:rsid w:val="00CB62C5"/>
    <w:rsid w:val="00CB69D1"/>
    <w:rsid w:val="00CC428E"/>
    <w:rsid w:val="00CC437E"/>
    <w:rsid w:val="00CC6F08"/>
    <w:rsid w:val="00CD09C7"/>
    <w:rsid w:val="00CD2602"/>
    <w:rsid w:val="00CE1CFA"/>
    <w:rsid w:val="00CE4CCF"/>
    <w:rsid w:val="00CF0F27"/>
    <w:rsid w:val="00CF163B"/>
    <w:rsid w:val="00CF1A9B"/>
    <w:rsid w:val="00D004E3"/>
    <w:rsid w:val="00D012F1"/>
    <w:rsid w:val="00D1238B"/>
    <w:rsid w:val="00D24DD3"/>
    <w:rsid w:val="00D31F1B"/>
    <w:rsid w:val="00D33DBF"/>
    <w:rsid w:val="00D34EF4"/>
    <w:rsid w:val="00D35057"/>
    <w:rsid w:val="00D37256"/>
    <w:rsid w:val="00D40201"/>
    <w:rsid w:val="00D52F1B"/>
    <w:rsid w:val="00D540EB"/>
    <w:rsid w:val="00D56304"/>
    <w:rsid w:val="00D563FF"/>
    <w:rsid w:val="00D56786"/>
    <w:rsid w:val="00D61899"/>
    <w:rsid w:val="00D663F9"/>
    <w:rsid w:val="00D710E7"/>
    <w:rsid w:val="00D7418D"/>
    <w:rsid w:val="00D75C2B"/>
    <w:rsid w:val="00D765E9"/>
    <w:rsid w:val="00D86398"/>
    <w:rsid w:val="00D86D52"/>
    <w:rsid w:val="00D87153"/>
    <w:rsid w:val="00D875A4"/>
    <w:rsid w:val="00D912A0"/>
    <w:rsid w:val="00D91B13"/>
    <w:rsid w:val="00D93048"/>
    <w:rsid w:val="00DA2C57"/>
    <w:rsid w:val="00DA4890"/>
    <w:rsid w:val="00DA6C07"/>
    <w:rsid w:val="00DB4D80"/>
    <w:rsid w:val="00DB7BBA"/>
    <w:rsid w:val="00DC08E2"/>
    <w:rsid w:val="00DC0FB2"/>
    <w:rsid w:val="00DC6220"/>
    <w:rsid w:val="00DD0AD9"/>
    <w:rsid w:val="00DD32D1"/>
    <w:rsid w:val="00DD3677"/>
    <w:rsid w:val="00DD5067"/>
    <w:rsid w:val="00DD5F78"/>
    <w:rsid w:val="00DE08B3"/>
    <w:rsid w:val="00DE0C2C"/>
    <w:rsid w:val="00DE7C21"/>
    <w:rsid w:val="00DF6DDC"/>
    <w:rsid w:val="00E1659A"/>
    <w:rsid w:val="00E169E2"/>
    <w:rsid w:val="00E171A2"/>
    <w:rsid w:val="00E174D7"/>
    <w:rsid w:val="00E2277B"/>
    <w:rsid w:val="00E23B46"/>
    <w:rsid w:val="00E25BE2"/>
    <w:rsid w:val="00E32705"/>
    <w:rsid w:val="00E3369A"/>
    <w:rsid w:val="00E444BA"/>
    <w:rsid w:val="00E55164"/>
    <w:rsid w:val="00E5649E"/>
    <w:rsid w:val="00E5709D"/>
    <w:rsid w:val="00E6193E"/>
    <w:rsid w:val="00E70EE3"/>
    <w:rsid w:val="00E7597A"/>
    <w:rsid w:val="00E764AD"/>
    <w:rsid w:val="00E8470E"/>
    <w:rsid w:val="00E84FA0"/>
    <w:rsid w:val="00E855A9"/>
    <w:rsid w:val="00E85E22"/>
    <w:rsid w:val="00E92774"/>
    <w:rsid w:val="00E92E33"/>
    <w:rsid w:val="00E9535F"/>
    <w:rsid w:val="00EA352B"/>
    <w:rsid w:val="00EA5104"/>
    <w:rsid w:val="00EB14B1"/>
    <w:rsid w:val="00EB1E0E"/>
    <w:rsid w:val="00EB203E"/>
    <w:rsid w:val="00EB54EB"/>
    <w:rsid w:val="00EC5D1E"/>
    <w:rsid w:val="00ED0BFC"/>
    <w:rsid w:val="00ED3848"/>
    <w:rsid w:val="00ED646B"/>
    <w:rsid w:val="00EE0E26"/>
    <w:rsid w:val="00EF0FB9"/>
    <w:rsid w:val="00EF13E2"/>
    <w:rsid w:val="00F02041"/>
    <w:rsid w:val="00F0377E"/>
    <w:rsid w:val="00F12EE8"/>
    <w:rsid w:val="00F142C8"/>
    <w:rsid w:val="00F16D05"/>
    <w:rsid w:val="00F20F43"/>
    <w:rsid w:val="00F33B83"/>
    <w:rsid w:val="00F36484"/>
    <w:rsid w:val="00F3681A"/>
    <w:rsid w:val="00F405F9"/>
    <w:rsid w:val="00F43867"/>
    <w:rsid w:val="00F44A94"/>
    <w:rsid w:val="00F463E1"/>
    <w:rsid w:val="00F541B7"/>
    <w:rsid w:val="00F62117"/>
    <w:rsid w:val="00F6361A"/>
    <w:rsid w:val="00F656BB"/>
    <w:rsid w:val="00F6648D"/>
    <w:rsid w:val="00F7484E"/>
    <w:rsid w:val="00F82497"/>
    <w:rsid w:val="00F830E1"/>
    <w:rsid w:val="00F84801"/>
    <w:rsid w:val="00F9238F"/>
    <w:rsid w:val="00F972F9"/>
    <w:rsid w:val="00F976FF"/>
    <w:rsid w:val="00F97FE1"/>
    <w:rsid w:val="00FA0C7B"/>
    <w:rsid w:val="00FA19F5"/>
    <w:rsid w:val="00FA3825"/>
    <w:rsid w:val="00FA4CD3"/>
    <w:rsid w:val="00FB0A7F"/>
    <w:rsid w:val="00FB48AC"/>
    <w:rsid w:val="00FC57E3"/>
    <w:rsid w:val="00FD06E9"/>
    <w:rsid w:val="00FD07E8"/>
    <w:rsid w:val="00FF0E20"/>
    <w:rsid w:val="00FF65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AE21"/>
  <w15:docId w15:val="{CC875843-EC0C-49EA-94F5-058D5F3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1"/>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4"/>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2"/>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3"/>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numbering" w:customStyle="1" w:styleId="Judgments1">
    <w:name w:val="Judgments1"/>
    <w:uiPriority w:val="99"/>
    <w:rsid w:val="00AA33DB"/>
  </w:style>
  <w:style w:type="character" w:styleId="Hyperlink">
    <w:name w:val="Hyperlink"/>
    <w:basedOn w:val="DefaultParagraphFont"/>
    <w:uiPriority w:val="99"/>
    <w:unhideWhenUsed/>
    <w:rsid w:val="006577BC"/>
    <w:rPr>
      <w:color w:val="0563C1" w:themeColor="hyperlink"/>
      <w:u w:val="single"/>
    </w:rPr>
  </w:style>
  <w:style w:type="paragraph" w:styleId="NormalWeb">
    <w:name w:val="Normal (Web)"/>
    <w:basedOn w:val="Normal"/>
    <w:uiPriority w:val="99"/>
    <w:semiHidden/>
    <w:unhideWhenUsed/>
    <w:rsid w:val="008215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64989"/>
    <w:rPr>
      <w:color w:val="954F72" w:themeColor="followedHyperlink"/>
      <w:u w:val="single"/>
    </w:rPr>
  </w:style>
  <w:style w:type="character" w:styleId="Emphasis">
    <w:name w:val="Emphasis"/>
    <w:basedOn w:val="DefaultParagraphFont"/>
    <w:uiPriority w:val="20"/>
    <w:qFormat/>
    <w:rsid w:val="0099492C"/>
    <w:rPr>
      <w:i/>
      <w:iCs/>
    </w:rPr>
  </w:style>
  <w:style w:type="numbering" w:customStyle="1" w:styleId="Judgments2">
    <w:name w:val="Judgments2"/>
    <w:uiPriority w:val="99"/>
    <w:rsid w:val="009117AC"/>
  </w:style>
  <w:style w:type="character" w:customStyle="1" w:styleId="CharacterStyle1">
    <w:name w:val="Character Style 1"/>
    <w:uiPriority w:val="99"/>
    <w:rsid w:val="000433FA"/>
    <w:rPr>
      <w:sz w:val="26"/>
    </w:rPr>
  </w:style>
  <w:style w:type="numbering" w:customStyle="1" w:styleId="Judgments3">
    <w:name w:val="Judgments3"/>
    <w:uiPriority w:val="99"/>
    <w:rsid w:val="00043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332997008">
      <w:bodyDiv w:val="1"/>
      <w:marLeft w:val="0"/>
      <w:marRight w:val="0"/>
      <w:marTop w:val="0"/>
      <w:marBottom w:val="0"/>
      <w:divBdr>
        <w:top w:val="none" w:sz="0" w:space="0" w:color="auto"/>
        <w:left w:val="none" w:sz="0" w:space="0" w:color="auto"/>
        <w:bottom w:val="none" w:sz="0" w:space="0" w:color="auto"/>
        <w:right w:val="none" w:sz="0" w:space="0" w:color="auto"/>
      </w:divBdr>
    </w:div>
    <w:div w:id="386492645">
      <w:bodyDiv w:val="1"/>
      <w:marLeft w:val="0"/>
      <w:marRight w:val="0"/>
      <w:marTop w:val="0"/>
      <w:marBottom w:val="0"/>
      <w:divBdr>
        <w:top w:val="none" w:sz="0" w:space="0" w:color="auto"/>
        <w:left w:val="none" w:sz="0" w:space="0" w:color="auto"/>
        <w:bottom w:val="none" w:sz="0" w:space="0" w:color="auto"/>
        <w:right w:val="none" w:sz="0" w:space="0" w:color="auto"/>
      </w:divBdr>
    </w:div>
    <w:div w:id="437867806">
      <w:bodyDiv w:val="1"/>
      <w:marLeft w:val="0"/>
      <w:marRight w:val="0"/>
      <w:marTop w:val="0"/>
      <w:marBottom w:val="0"/>
      <w:divBdr>
        <w:top w:val="none" w:sz="0" w:space="0" w:color="auto"/>
        <w:left w:val="none" w:sz="0" w:space="0" w:color="auto"/>
        <w:bottom w:val="none" w:sz="0" w:space="0" w:color="auto"/>
        <w:right w:val="none" w:sz="0" w:space="0" w:color="auto"/>
      </w:divBdr>
    </w:div>
    <w:div w:id="450132335">
      <w:bodyDiv w:val="1"/>
      <w:marLeft w:val="0"/>
      <w:marRight w:val="0"/>
      <w:marTop w:val="0"/>
      <w:marBottom w:val="0"/>
      <w:divBdr>
        <w:top w:val="none" w:sz="0" w:space="0" w:color="auto"/>
        <w:left w:val="none" w:sz="0" w:space="0" w:color="auto"/>
        <w:bottom w:val="none" w:sz="0" w:space="0" w:color="auto"/>
        <w:right w:val="none" w:sz="0" w:space="0" w:color="auto"/>
      </w:divBdr>
    </w:div>
    <w:div w:id="521865877">
      <w:bodyDiv w:val="1"/>
      <w:marLeft w:val="0"/>
      <w:marRight w:val="0"/>
      <w:marTop w:val="0"/>
      <w:marBottom w:val="0"/>
      <w:divBdr>
        <w:top w:val="none" w:sz="0" w:space="0" w:color="auto"/>
        <w:left w:val="none" w:sz="0" w:space="0" w:color="auto"/>
        <w:bottom w:val="none" w:sz="0" w:space="0" w:color="auto"/>
        <w:right w:val="none" w:sz="0" w:space="0" w:color="auto"/>
      </w:divBdr>
    </w:div>
    <w:div w:id="528033615">
      <w:bodyDiv w:val="1"/>
      <w:marLeft w:val="0"/>
      <w:marRight w:val="0"/>
      <w:marTop w:val="750"/>
      <w:marBottom w:val="0"/>
      <w:divBdr>
        <w:top w:val="none" w:sz="0" w:space="0" w:color="auto"/>
        <w:left w:val="none" w:sz="0" w:space="0" w:color="auto"/>
        <w:bottom w:val="none" w:sz="0" w:space="0" w:color="auto"/>
        <w:right w:val="none" w:sz="0" w:space="0" w:color="auto"/>
      </w:divBdr>
      <w:divsChild>
        <w:div w:id="1692563465">
          <w:marLeft w:val="0"/>
          <w:marRight w:val="0"/>
          <w:marTop w:val="0"/>
          <w:marBottom w:val="0"/>
          <w:divBdr>
            <w:top w:val="none" w:sz="0" w:space="0" w:color="auto"/>
            <w:left w:val="none" w:sz="0" w:space="0" w:color="auto"/>
            <w:bottom w:val="none" w:sz="0" w:space="0" w:color="auto"/>
            <w:right w:val="none" w:sz="0" w:space="0" w:color="auto"/>
          </w:divBdr>
          <w:divsChild>
            <w:div w:id="92017434">
              <w:marLeft w:val="0"/>
              <w:marRight w:val="0"/>
              <w:marTop w:val="0"/>
              <w:marBottom w:val="0"/>
              <w:divBdr>
                <w:top w:val="none" w:sz="0" w:space="0" w:color="auto"/>
                <w:left w:val="none" w:sz="0" w:space="0" w:color="auto"/>
                <w:bottom w:val="none" w:sz="0" w:space="0" w:color="auto"/>
                <w:right w:val="none" w:sz="0" w:space="0" w:color="auto"/>
              </w:divBdr>
              <w:divsChild>
                <w:div w:id="1116367733">
                  <w:marLeft w:val="0"/>
                  <w:marRight w:val="0"/>
                  <w:marTop w:val="0"/>
                  <w:marBottom w:val="0"/>
                  <w:divBdr>
                    <w:top w:val="none" w:sz="0" w:space="0" w:color="auto"/>
                    <w:left w:val="none" w:sz="0" w:space="0" w:color="auto"/>
                    <w:bottom w:val="none" w:sz="0" w:space="0" w:color="auto"/>
                    <w:right w:val="none" w:sz="0" w:space="0" w:color="auto"/>
                  </w:divBdr>
                  <w:divsChild>
                    <w:div w:id="1380938955">
                      <w:marLeft w:val="0"/>
                      <w:marRight w:val="0"/>
                      <w:marTop w:val="0"/>
                      <w:marBottom w:val="150"/>
                      <w:divBdr>
                        <w:top w:val="none" w:sz="0" w:space="0" w:color="auto"/>
                        <w:left w:val="none" w:sz="0" w:space="0" w:color="auto"/>
                        <w:bottom w:val="none" w:sz="0" w:space="0" w:color="auto"/>
                        <w:right w:val="none" w:sz="0" w:space="0" w:color="auto"/>
                      </w:divBdr>
                      <w:divsChild>
                        <w:div w:id="716243727">
                          <w:marLeft w:val="0"/>
                          <w:marRight w:val="0"/>
                          <w:marTop w:val="0"/>
                          <w:marBottom w:val="0"/>
                          <w:divBdr>
                            <w:top w:val="none" w:sz="0" w:space="0" w:color="auto"/>
                            <w:left w:val="none" w:sz="0" w:space="0" w:color="auto"/>
                            <w:bottom w:val="none" w:sz="0" w:space="0" w:color="auto"/>
                            <w:right w:val="none" w:sz="0" w:space="0" w:color="auto"/>
                          </w:divBdr>
                          <w:divsChild>
                            <w:div w:id="1589271913">
                              <w:marLeft w:val="0"/>
                              <w:marRight w:val="0"/>
                              <w:marTop w:val="0"/>
                              <w:marBottom w:val="0"/>
                              <w:divBdr>
                                <w:top w:val="none" w:sz="0" w:space="0" w:color="auto"/>
                                <w:left w:val="none" w:sz="0" w:space="0" w:color="auto"/>
                                <w:bottom w:val="none" w:sz="0" w:space="0" w:color="auto"/>
                                <w:right w:val="none" w:sz="0" w:space="0" w:color="auto"/>
                              </w:divBdr>
                              <w:divsChild>
                                <w:div w:id="1883588592">
                                  <w:marLeft w:val="0"/>
                                  <w:marRight w:val="0"/>
                                  <w:marTop w:val="0"/>
                                  <w:marBottom w:val="0"/>
                                  <w:divBdr>
                                    <w:top w:val="none" w:sz="0" w:space="0" w:color="auto"/>
                                    <w:left w:val="none" w:sz="0" w:space="0" w:color="auto"/>
                                    <w:bottom w:val="none" w:sz="0" w:space="0" w:color="auto"/>
                                    <w:right w:val="none" w:sz="0" w:space="0" w:color="auto"/>
                                  </w:divBdr>
                                  <w:divsChild>
                                    <w:div w:id="610550902">
                                      <w:marLeft w:val="0"/>
                                      <w:marRight w:val="0"/>
                                      <w:marTop w:val="0"/>
                                      <w:marBottom w:val="0"/>
                                      <w:divBdr>
                                        <w:top w:val="none" w:sz="0" w:space="0" w:color="auto"/>
                                        <w:left w:val="none" w:sz="0" w:space="0" w:color="auto"/>
                                        <w:bottom w:val="none" w:sz="0" w:space="0" w:color="auto"/>
                                        <w:right w:val="none" w:sz="0" w:space="0" w:color="auto"/>
                                      </w:divBdr>
                                      <w:divsChild>
                                        <w:div w:id="951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1192467">
      <w:bodyDiv w:val="1"/>
      <w:marLeft w:val="0"/>
      <w:marRight w:val="0"/>
      <w:marTop w:val="0"/>
      <w:marBottom w:val="0"/>
      <w:divBdr>
        <w:top w:val="none" w:sz="0" w:space="0" w:color="auto"/>
        <w:left w:val="none" w:sz="0" w:space="0" w:color="auto"/>
        <w:bottom w:val="none" w:sz="0" w:space="0" w:color="auto"/>
        <w:right w:val="none" w:sz="0" w:space="0" w:color="auto"/>
      </w:divBdr>
    </w:div>
    <w:div w:id="66482417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58473736">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95168967">
      <w:bodyDiv w:val="1"/>
      <w:marLeft w:val="0"/>
      <w:marRight w:val="0"/>
      <w:marTop w:val="0"/>
      <w:marBottom w:val="0"/>
      <w:divBdr>
        <w:top w:val="none" w:sz="0" w:space="0" w:color="auto"/>
        <w:left w:val="none" w:sz="0" w:space="0" w:color="auto"/>
        <w:bottom w:val="none" w:sz="0" w:space="0" w:color="auto"/>
        <w:right w:val="none" w:sz="0" w:space="0" w:color="auto"/>
      </w:divBdr>
    </w:div>
    <w:div w:id="18075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7660</Words>
  <Characters>43667</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e.carolus</dc:creator>
  <cp:keywords/>
  <dc:description/>
  <cp:lastModifiedBy>Sophia Payet</cp:lastModifiedBy>
  <cp:revision>2</cp:revision>
  <cp:lastPrinted>2022-12-02T11:20:00Z</cp:lastPrinted>
  <dcterms:created xsi:type="dcterms:W3CDTF">2022-12-09T02:33:00Z</dcterms:created>
  <dcterms:modified xsi:type="dcterms:W3CDTF">2022-12-09T02:33:00Z</dcterms:modified>
</cp:coreProperties>
</file>