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bookmarkEnd w:id="1"/>
    <w:p w:rsidR="006B7522" w:rsidRDefault="006B7522" w:rsidP="006B7522">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Pr="0096251D">
        <w:rPr>
          <w:b/>
          <w:sz w:val="24"/>
          <w:szCs w:val="24"/>
        </w:rPr>
        <w:instrText xml:space="preserve"> FORMTEXT </w:instrText>
      </w:r>
      <w:r w:rsidRPr="0096251D">
        <w:rPr>
          <w:b/>
          <w:sz w:val="24"/>
          <w:szCs w:val="24"/>
        </w:rPr>
      </w:r>
      <w:r w:rsidRPr="0096251D">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96251D">
        <w:rPr>
          <w:b/>
          <w:sz w:val="24"/>
          <w:szCs w:val="24"/>
        </w:rPr>
        <w:fldChar w:fldCharType="end"/>
      </w:r>
      <w:bookmarkEnd w:id="0"/>
    </w:p>
    <w:bookmarkStart w:id="2" w:name="Text42"/>
    <w:p w:rsidR="006B7522" w:rsidRDefault="006B7522" w:rsidP="006B7522">
      <w:pPr>
        <w:jc w:val="center"/>
        <w:rPr>
          <w:i/>
          <w:sz w:val="24"/>
          <w:szCs w:val="24"/>
        </w:rPr>
        <w:sectPr w:rsidR="006B7522" w:rsidSect="006B7522">
          <w:footerReference w:type="default" r:id="rId7"/>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Pr>
          <w:i/>
          <w:sz w:val="24"/>
          <w:szCs w:val="24"/>
        </w:rPr>
        <w:instrText xml:space="preserve"> FORMTEXT </w:instrText>
      </w:r>
      <w:r>
        <w:rPr>
          <w:i/>
          <w:sz w:val="24"/>
          <w:szCs w:val="24"/>
        </w:rPr>
      </w:r>
      <w:r>
        <w:rPr>
          <w:i/>
          <w:sz w:val="24"/>
          <w:szCs w:val="24"/>
        </w:rPr>
        <w:fldChar w:fldCharType="separate"/>
      </w:r>
      <w:r>
        <w:rPr>
          <w:i/>
          <w:sz w:val="24"/>
          <w:szCs w:val="24"/>
        </w:rPr>
        <w:t> </w:t>
      </w:r>
      <w:r>
        <w:rPr>
          <w:i/>
          <w:sz w:val="24"/>
          <w:szCs w:val="24"/>
        </w:rPr>
        <w:t> </w:t>
      </w:r>
      <w:r>
        <w:rPr>
          <w:i/>
          <w:sz w:val="24"/>
          <w:szCs w:val="24"/>
        </w:rPr>
        <w:t> </w:t>
      </w:r>
      <w:r>
        <w:rPr>
          <w:i/>
          <w:sz w:val="24"/>
          <w:szCs w:val="24"/>
        </w:rPr>
        <w:t> </w:t>
      </w:r>
      <w:r>
        <w:rPr>
          <w:i/>
          <w:sz w:val="24"/>
          <w:szCs w:val="24"/>
        </w:rPr>
        <w:t> </w:t>
      </w:r>
      <w:r>
        <w:rPr>
          <w:i/>
          <w:sz w:val="24"/>
          <w:szCs w:val="24"/>
        </w:rPr>
        <w:fldChar w:fldCharType="end"/>
      </w:r>
      <w:bookmarkEnd w:id="2"/>
    </w:p>
    <w:p w:rsidR="006B7522" w:rsidRDefault="006B7522" w:rsidP="006B7522">
      <w:pPr>
        <w:jc w:val="center"/>
        <w:rPr>
          <w:b/>
          <w:sz w:val="28"/>
          <w:szCs w:val="28"/>
        </w:rPr>
      </w:pPr>
    </w:p>
    <w:p w:rsidR="006B7522" w:rsidRPr="00606EEA" w:rsidRDefault="006B7522" w:rsidP="006B7522">
      <w:pPr>
        <w:jc w:val="center"/>
        <w:rPr>
          <w:b/>
          <w:sz w:val="28"/>
          <w:szCs w:val="28"/>
        </w:rPr>
      </w:pPr>
      <w:r w:rsidRPr="00606EEA">
        <w:rPr>
          <w:b/>
          <w:sz w:val="28"/>
          <w:szCs w:val="28"/>
        </w:rPr>
        <w:t>IN THE SUPREME COURT OF SEYCHELLES</w:t>
      </w:r>
    </w:p>
    <w:p w:rsidR="006B7522" w:rsidRDefault="006B7522" w:rsidP="006B7522">
      <w:pPr>
        <w:spacing w:before="240"/>
        <w:jc w:val="center"/>
        <w:rPr>
          <w:b/>
          <w:sz w:val="28"/>
          <w:szCs w:val="28"/>
        </w:rPr>
      </w:pPr>
      <w:r w:rsidRPr="00B75AE2">
        <w:rPr>
          <w:b/>
          <w:sz w:val="28"/>
          <w:szCs w:val="28"/>
        </w:rPr>
        <w:t>C</w:t>
      </w:r>
      <w:r>
        <w:rPr>
          <w:b/>
          <w:sz w:val="28"/>
          <w:szCs w:val="28"/>
        </w:rPr>
        <w:t>riminal</w:t>
      </w:r>
      <w:r w:rsidRPr="00B75AE2">
        <w:rPr>
          <w:b/>
          <w:sz w:val="28"/>
          <w:szCs w:val="28"/>
        </w:rPr>
        <w:t xml:space="preserve"> Side: </w:t>
      </w:r>
      <w:bookmarkStart w:id="3" w:name="Dropdown15"/>
      <w:r>
        <w:rPr>
          <w:b/>
          <w:sz w:val="28"/>
          <w:szCs w:val="28"/>
        </w:rPr>
        <w:fldChar w:fldCharType="begin">
          <w:ffData>
            <w:name w:val="Dropdown15"/>
            <w:enabled/>
            <w:calcOnExit w:val="0"/>
            <w:ddList>
              <w:listEntry w:val="CO"/>
              <w:listEntry w:val="CV"/>
            </w:ddList>
          </w:ffData>
        </w:fldChar>
      </w:r>
      <w:r>
        <w:rPr>
          <w:b/>
          <w:sz w:val="28"/>
          <w:szCs w:val="28"/>
        </w:rPr>
        <w:instrText xml:space="preserve"> FORMDROPDOWN </w:instrText>
      </w:r>
      <w:r w:rsidR="002B7033">
        <w:rPr>
          <w:b/>
          <w:sz w:val="28"/>
          <w:szCs w:val="28"/>
        </w:rPr>
      </w:r>
      <w:r w:rsidR="002B7033">
        <w:rPr>
          <w:b/>
          <w:sz w:val="28"/>
          <w:szCs w:val="28"/>
        </w:rPr>
        <w:fldChar w:fldCharType="separate"/>
      </w:r>
      <w:r>
        <w:rPr>
          <w:b/>
          <w:sz w:val="28"/>
          <w:szCs w:val="28"/>
        </w:rPr>
        <w:fldChar w:fldCharType="end"/>
      </w:r>
      <w:bookmarkEnd w:id="3"/>
      <w:r>
        <w:rPr>
          <w:b/>
          <w:sz w:val="28"/>
          <w:szCs w:val="28"/>
        </w:rPr>
        <w:t xml:space="preserve"> </w:t>
      </w:r>
      <w:r>
        <w:rPr>
          <w:b/>
          <w:sz w:val="28"/>
          <w:szCs w:val="28"/>
        </w:rPr>
        <w:fldChar w:fldCharType="begin">
          <w:ffData>
            <w:name w:val="Text35"/>
            <w:enabled/>
            <w:calcOnExit w:val="0"/>
            <w:textInput/>
          </w:ffData>
        </w:fldChar>
      </w:r>
      <w:bookmarkStart w:id="4" w:name="Text35"/>
      <w:r>
        <w:rPr>
          <w:b/>
          <w:sz w:val="28"/>
          <w:szCs w:val="28"/>
        </w:rPr>
        <w:instrText xml:space="preserve"> FORMTEXT </w:instrText>
      </w:r>
      <w:r>
        <w:rPr>
          <w:b/>
          <w:sz w:val="28"/>
          <w:szCs w:val="28"/>
        </w:rPr>
      </w:r>
      <w:r>
        <w:rPr>
          <w:b/>
          <w:sz w:val="28"/>
          <w:szCs w:val="28"/>
        </w:rPr>
        <w:fldChar w:fldCharType="separate"/>
      </w:r>
      <w:r>
        <w:rPr>
          <w:b/>
          <w:noProof/>
          <w:sz w:val="28"/>
          <w:szCs w:val="28"/>
        </w:rPr>
        <w:t>52</w:t>
      </w:r>
      <w:r>
        <w:rPr>
          <w:b/>
          <w:sz w:val="28"/>
          <w:szCs w:val="28"/>
        </w:rPr>
        <w:fldChar w:fldCharType="end"/>
      </w:r>
      <w:bookmarkEnd w:id="4"/>
      <w:r w:rsidRPr="00B75AE2">
        <w:rPr>
          <w:b/>
          <w:sz w:val="28"/>
          <w:szCs w:val="28"/>
        </w:rPr>
        <w:t>/20</w:t>
      </w:r>
      <w:r w:rsidRPr="00B75AE2">
        <w:rPr>
          <w:b/>
          <w:sz w:val="28"/>
          <w:szCs w:val="28"/>
        </w:rPr>
        <w:fldChar w:fldCharType="begin">
          <w:ffData>
            <w:name w:val="Text33"/>
            <w:enabled/>
            <w:calcOnExit w:val="0"/>
            <w:textInput/>
          </w:ffData>
        </w:fldChar>
      </w:r>
      <w:bookmarkStart w:id="5" w:name="Text33"/>
      <w:r w:rsidRPr="00B75AE2">
        <w:rPr>
          <w:b/>
          <w:sz w:val="28"/>
          <w:szCs w:val="28"/>
        </w:rPr>
        <w:instrText xml:space="preserve"> FORMTEXT </w:instrText>
      </w:r>
      <w:r w:rsidRPr="00B75AE2">
        <w:rPr>
          <w:b/>
          <w:sz w:val="28"/>
          <w:szCs w:val="28"/>
        </w:rPr>
      </w:r>
      <w:r w:rsidRPr="00B75AE2">
        <w:rPr>
          <w:b/>
          <w:sz w:val="28"/>
          <w:szCs w:val="28"/>
        </w:rPr>
        <w:fldChar w:fldCharType="separate"/>
      </w:r>
      <w:r>
        <w:rPr>
          <w:b/>
          <w:noProof/>
          <w:sz w:val="28"/>
          <w:szCs w:val="28"/>
        </w:rPr>
        <w:t>14</w:t>
      </w:r>
      <w:r w:rsidRPr="00B75AE2">
        <w:rPr>
          <w:b/>
          <w:sz w:val="28"/>
          <w:szCs w:val="28"/>
        </w:rPr>
        <w:fldChar w:fldCharType="end"/>
      </w:r>
      <w:bookmarkEnd w:id="5"/>
    </w:p>
    <w:p w:rsidR="006B7522" w:rsidRPr="00606EEA" w:rsidRDefault="006B7522" w:rsidP="006B7522">
      <w:pPr>
        <w:spacing w:before="120"/>
        <w:jc w:val="center"/>
        <w:rPr>
          <w:b/>
          <w:sz w:val="24"/>
          <w:szCs w:val="24"/>
        </w:rPr>
      </w:pPr>
      <w:r>
        <w:rPr>
          <w:b/>
          <w:sz w:val="24"/>
          <w:szCs w:val="24"/>
          <w:highlight w:val="lightGray"/>
        </w:rPr>
        <w:fldChar w:fldCharType="begin"/>
      </w:r>
      <w:r>
        <w:rPr>
          <w:b/>
          <w:sz w:val="24"/>
          <w:szCs w:val="24"/>
          <w:highlight w:val="lightGray"/>
        </w:rPr>
        <w:instrText xml:space="preserve">  </w:instrText>
      </w:r>
      <w:r>
        <w:rPr>
          <w:b/>
          <w:sz w:val="24"/>
          <w:szCs w:val="24"/>
          <w:highlight w:val="lightGray"/>
        </w:rPr>
        <w:fldChar w:fldCharType="end"/>
      </w:r>
    </w:p>
    <w:p w:rsidR="006B7522" w:rsidRPr="00606EEA" w:rsidRDefault="006B7522" w:rsidP="006B7522">
      <w:pPr>
        <w:spacing w:before="240" w:after="160"/>
        <w:ind w:left="6480"/>
        <w:rPr>
          <w:b/>
          <w:sz w:val="24"/>
          <w:szCs w:val="24"/>
        </w:rPr>
      </w:pPr>
      <w:r>
        <w:rPr>
          <w:b/>
          <w:sz w:val="24"/>
          <w:szCs w:val="24"/>
        </w:rPr>
        <w:t xml:space="preserve">       </w:t>
      </w:r>
      <w:r w:rsidRPr="00606EEA">
        <w:rPr>
          <w:b/>
          <w:sz w:val="24"/>
          <w:szCs w:val="24"/>
        </w:rPr>
        <w:t>[201</w:t>
      </w:r>
      <w:r>
        <w:rPr>
          <w:b/>
          <w:sz w:val="24"/>
          <w:szCs w:val="24"/>
        </w:rPr>
        <w:fldChar w:fldCharType="begin">
          <w:ffData>
            <w:name w:val="Text4"/>
            <w:enabled/>
            <w:calcOnExit w:val="0"/>
            <w:textInput/>
          </w:ffData>
        </w:fldChar>
      </w:r>
      <w:bookmarkStart w:id="6" w:name="Text4"/>
      <w:r>
        <w:rPr>
          <w:b/>
          <w:sz w:val="24"/>
          <w:szCs w:val="24"/>
        </w:rPr>
        <w:instrText xml:space="preserve"> FORMTEXT </w:instrText>
      </w:r>
      <w:r>
        <w:rPr>
          <w:b/>
          <w:sz w:val="24"/>
          <w:szCs w:val="24"/>
        </w:rPr>
      </w:r>
      <w:r>
        <w:rPr>
          <w:b/>
          <w:sz w:val="24"/>
          <w:szCs w:val="24"/>
        </w:rPr>
        <w:fldChar w:fldCharType="separate"/>
      </w:r>
      <w:r>
        <w:rPr>
          <w:b/>
          <w:noProof/>
          <w:sz w:val="24"/>
          <w:szCs w:val="24"/>
        </w:rPr>
        <w:t>6</w:t>
      </w:r>
      <w:r>
        <w:rPr>
          <w:b/>
          <w:sz w:val="24"/>
          <w:szCs w:val="24"/>
        </w:rPr>
        <w:fldChar w:fldCharType="end"/>
      </w:r>
      <w:bookmarkEnd w:id="6"/>
      <w:r>
        <w:rPr>
          <w:b/>
          <w:sz w:val="24"/>
          <w:szCs w:val="24"/>
        </w:rPr>
        <w:fldChar w:fldCharType="begin"/>
      </w:r>
      <w:r>
        <w:rPr>
          <w:b/>
          <w:sz w:val="24"/>
          <w:szCs w:val="24"/>
        </w:rPr>
        <w:instrText xml:space="preserve">  </w:instrText>
      </w:r>
      <w:r>
        <w:rPr>
          <w:b/>
          <w:sz w:val="24"/>
          <w:szCs w:val="24"/>
        </w:rPr>
        <w:fldChar w:fldCharType="end"/>
      </w:r>
      <w:r w:rsidRPr="00606EEA">
        <w:rPr>
          <w:b/>
          <w:sz w:val="24"/>
          <w:szCs w:val="24"/>
        </w:rPr>
        <w:t>] SCSC</w:t>
      </w:r>
      <w:r>
        <w:rPr>
          <w:b/>
          <w:sz w:val="24"/>
          <w:szCs w:val="24"/>
        </w:rPr>
        <w:t xml:space="preserve"> </w:t>
      </w:r>
      <w:r>
        <w:rPr>
          <w:b/>
          <w:sz w:val="24"/>
          <w:szCs w:val="24"/>
        </w:rPr>
        <w:fldChar w:fldCharType="begin">
          <w:ffData>
            <w:name w:val="Text47"/>
            <w:enabled/>
            <w:calcOnExit w:val="0"/>
            <w:textInput/>
          </w:ffData>
        </w:fldChar>
      </w:r>
      <w:bookmarkStart w:id="7" w:name="Text4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p w:rsidR="006B7522" w:rsidRPr="00606EEA" w:rsidRDefault="006B7522" w:rsidP="006B7522">
      <w:pPr>
        <w:pBdr>
          <w:bottom w:val="single" w:sz="4" w:space="5" w:color="auto"/>
        </w:pBdr>
        <w:jc w:val="center"/>
        <w:rPr>
          <w:b/>
          <w:sz w:val="24"/>
          <w:szCs w:val="24"/>
        </w:rPr>
      </w:pPr>
    </w:p>
    <w:p w:rsidR="006B7522" w:rsidRDefault="006B7522" w:rsidP="006B7522">
      <w:pPr>
        <w:rPr>
          <w:sz w:val="24"/>
          <w:szCs w:val="24"/>
        </w:rPr>
      </w:pPr>
    </w:p>
    <w:p w:rsidR="006B7522" w:rsidRPr="00B119B1" w:rsidRDefault="006B7522" w:rsidP="006B7522">
      <w:pPr>
        <w:jc w:val="center"/>
        <w:rPr>
          <w:b/>
          <w:sz w:val="24"/>
          <w:szCs w:val="24"/>
        </w:rPr>
      </w:pPr>
      <w:bookmarkStart w:id="8" w:name="Text40"/>
      <w:bookmarkStart w:id="9" w:name="Text22"/>
      <w:r w:rsidRPr="0096251D">
        <w:rPr>
          <w:b/>
          <w:sz w:val="24"/>
          <w:szCs w:val="24"/>
        </w:rPr>
        <w:t>THE REPUBLIC</w:t>
      </w:r>
      <w:bookmarkEnd w:id="8"/>
      <w:bookmarkEnd w:id="9"/>
    </w:p>
    <w:p w:rsidR="006B7522" w:rsidRDefault="006B7522" w:rsidP="006B7522">
      <w:pPr>
        <w:spacing w:after="240"/>
        <w:jc w:val="center"/>
        <w:rPr>
          <w:sz w:val="24"/>
          <w:szCs w:val="24"/>
        </w:rPr>
        <w:sectPr w:rsidR="006B7522" w:rsidSect="00B938BB">
          <w:type w:val="continuous"/>
          <w:pgSz w:w="12240" w:h="15840"/>
          <w:pgMar w:top="1080" w:right="1440" w:bottom="1440" w:left="1440" w:header="720" w:footer="720" w:gutter="0"/>
          <w:cols w:space="720"/>
          <w:docGrid w:linePitch="360"/>
        </w:sectPr>
      </w:pPr>
    </w:p>
    <w:p w:rsidR="006B7522" w:rsidRDefault="006B7522" w:rsidP="006B7522">
      <w:pPr>
        <w:spacing w:before="120"/>
        <w:jc w:val="center"/>
        <w:rPr>
          <w:sz w:val="24"/>
          <w:szCs w:val="24"/>
        </w:rPr>
      </w:pPr>
    </w:p>
    <w:p w:rsidR="006B7522" w:rsidRDefault="006B7522" w:rsidP="006B7522">
      <w:pPr>
        <w:spacing w:before="120"/>
        <w:jc w:val="center"/>
        <w:rPr>
          <w:sz w:val="24"/>
          <w:szCs w:val="24"/>
        </w:rPr>
      </w:pPr>
      <w:proofErr w:type="gramStart"/>
      <w:r>
        <w:rPr>
          <w:sz w:val="24"/>
          <w:szCs w:val="24"/>
        </w:rPr>
        <w:t>versus</w:t>
      </w:r>
      <w:proofErr w:type="gramEnd"/>
    </w:p>
    <w:p w:rsidR="006B7522" w:rsidRDefault="006B7522" w:rsidP="006B7522">
      <w:pPr>
        <w:jc w:val="center"/>
        <w:rPr>
          <w:sz w:val="24"/>
          <w:szCs w:val="24"/>
        </w:rPr>
      </w:pPr>
    </w:p>
    <w:p w:rsidR="006B7522" w:rsidRDefault="006B7522" w:rsidP="006B7522">
      <w:pPr>
        <w:jc w:val="center"/>
        <w:rPr>
          <w:sz w:val="24"/>
          <w:szCs w:val="24"/>
        </w:rPr>
      </w:pPr>
    </w:p>
    <w:bookmarkStart w:id="10" w:name="Text46"/>
    <w:p w:rsidR="006B7522" w:rsidRPr="000827FA" w:rsidRDefault="006B7522" w:rsidP="006B7522">
      <w:pPr>
        <w:jc w:val="center"/>
        <w:rPr>
          <w:b/>
          <w:sz w:val="24"/>
          <w:szCs w:val="24"/>
        </w:rPr>
        <w:sectPr w:rsidR="006B752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NOEL LABICHE</w:t>
      </w:r>
      <w:r>
        <w:rPr>
          <w:b/>
          <w:sz w:val="24"/>
          <w:szCs w:val="24"/>
        </w:rPr>
        <w:fldChar w:fldCharType="end"/>
      </w:r>
      <w:bookmarkEnd w:id="10"/>
    </w:p>
    <w:bookmarkStart w:id="11" w:name="Dropdown16"/>
    <w:p w:rsidR="006B7522" w:rsidRDefault="006B7522" w:rsidP="006B7522">
      <w:pPr>
        <w:spacing w:after="240"/>
        <w:jc w:val="center"/>
        <w:rPr>
          <w:sz w:val="24"/>
          <w:szCs w:val="24"/>
        </w:rPr>
        <w:sectPr w:rsidR="006B752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Pr>
          <w:sz w:val="24"/>
          <w:szCs w:val="24"/>
        </w:rPr>
        <w:instrText xml:space="preserve"> FORMDROPDOWN </w:instrText>
      </w:r>
      <w:r w:rsidR="002B7033">
        <w:rPr>
          <w:sz w:val="24"/>
          <w:szCs w:val="24"/>
        </w:rPr>
      </w:r>
      <w:r w:rsidR="002B7033">
        <w:rPr>
          <w:sz w:val="24"/>
          <w:szCs w:val="24"/>
        </w:rPr>
        <w:fldChar w:fldCharType="separate"/>
      </w:r>
      <w:r>
        <w:rPr>
          <w:sz w:val="24"/>
          <w:szCs w:val="24"/>
        </w:rPr>
        <w:fldChar w:fldCharType="end"/>
      </w:r>
      <w:bookmarkEnd w:id="11"/>
    </w:p>
    <w:p w:rsidR="006B7522" w:rsidRDefault="006B7522" w:rsidP="006B7522">
      <w:pPr>
        <w:jc w:val="center"/>
        <w:rPr>
          <w:sz w:val="24"/>
          <w:szCs w:val="24"/>
        </w:rPr>
      </w:pPr>
      <w:r>
        <w:rPr>
          <w:b/>
          <w:sz w:val="24"/>
          <w:szCs w:val="24"/>
        </w:rPr>
        <w:lastRenderedPageBreak/>
        <w:t>BASIL JOUBERT</w:t>
      </w:r>
    </w:p>
    <w:p w:rsidR="006B7522" w:rsidRPr="001E5CF2" w:rsidRDefault="006B7522" w:rsidP="006B7522">
      <w:pPr>
        <w:jc w:val="center"/>
        <w:rPr>
          <w:sz w:val="24"/>
          <w:szCs w:val="24"/>
        </w:rPr>
        <w:sectPr w:rsidR="006B7522" w:rsidRPr="001E5CF2" w:rsidSect="00EF2051">
          <w:type w:val="continuous"/>
          <w:pgSz w:w="12240" w:h="15840"/>
          <w:pgMar w:top="1440" w:right="1440" w:bottom="1440" w:left="1440" w:header="720" w:footer="720" w:gutter="0"/>
          <w:cols w:space="720"/>
          <w:formProt w:val="0"/>
          <w:docGrid w:linePitch="360"/>
        </w:sectPr>
      </w:pPr>
      <w:r>
        <w:rPr>
          <w:sz w:val="24"/>
          <w:szCs w:val="24"/>
        </w:rPr>
        <w:t>Second Accused</w:t>
      </w:r>
    </w:p>
    <w:p w:rsidR="006B7522" w:rsidRPr="007779A2" w:rsidRDefault="006B7522" w:rsidP="006B7522">
      <w:pPr>
        <w:pBdr>
          <w:bottom w:val="single" w:sz="4" w:space="1" w:color="auto"/>
        </w:pBdr>
        <w:jc w:val="center"/>
        <w:rPr>
          <w:sz w:val="12"/>
          <w:szCs w:val="12"/>
        </w:rPr>
      </w:pPr>
    </w:p>
    <w:p w:rsidR="006B7522" w:rsidRPr="00E0467F" w:rsidRDefault="006B7522" w:rsidP="006B7522">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bookmarkStart w:id="12" w:name="Text34"/>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27 June 2016</w:t>
      </w:r>
      <w:r>
        <w:rPr>
          <w:sz w:val="24"/>
          <w:szCs w:val="24"/>
        </w:rPr>
        <w:fldChar w:fldCharType="end"/>
      </w:r>
      <w:bookmarkEnd w:id="12"/>
      <w:r>
        <w:rPr>
          <w:sz w:val="24"/>
          <w:szCs w:val="24"/>
        </w:rPr>
        <w:fldChar w:fldCharType="begin"/>
      </w:r>
      <w:r>
        <w:rPr>
          <w:sz w:val="24"/>
          <w:szCs w:val="24"/>
        </w:rPr>
        <w:instrText xml:space="preserve">  </w:instrText>
      </w:r>
      <w:r>
        <w:rPr>
          <w:sz w:val="24"/>
          <w:szCs w:val="24"/>
        </w:rPr>
        <w:fldChar w:fldCharType="end"/>
      </w:r>
    </w:p>
    <w:p w:rsidR="006B7522" w:rsidRDefault="006B7522" w:rsidP="006B7522">
      <w:pPr>
        <w:rPr>
          <w:sz w:val="24"/>
          <w:szCs w:val="24"/>
        </w:rPr>
        <w:sectPr w:rsidR="006B7522"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Mr. Hermanth Kumar</w:t>
      </w:r>
      <w:r>
        <w:rPr>
          <w:sz w:val="24"/>
          <w:szCs w:val="24"/>
        </w:rPr>
        <w:fldChar w:fldCharType="end"/>
      </w:r>
      <w:r>
        <w:rPr>
          <w:sz w:val="24"/>
          <w:szCs w:val="24"/>
        </w:rPr>
        <w:t xml:space="preserve">, </w:t>
      </w:r>
      <w:r>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Pr>
          <w:sz w:val="24"/>
          <w:szCs w:val="24"/>
        </w:rPr>
        <w:instrText xml:space="preserve"> FORMDROPDOWN </w:instrText>
      </w:r>
      <w:r w:rsidR="002B7033">
        <w:rPr>
          <w:sz w:val="24"/>
          <w:szCs w:val="24"/>
        </w:rPr>
      </w:r>
      <w:r w:rsidR="002B7033">
        <w:rPr>
          <w:sz w:val="24"/>
          <w:szCs w:val="24"/>
        </w:rPr>
        <w:fldChar w:fldCharType="separate"/>
      </w:r>
      <w:r>
        <w:rPr>
          <w:sz w:val="24"/>
          <w:szCs w:val="24"/>
        </w:rPr>
        <w:fldChar w:fldCharType="end"/>
      </w:r>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the Republic</w:t>
      </w:r>
      <w:r>
        <w:rPr>
          <w:sz w:val="24"/>
          <w:szCs w:val="24"/>
        </w:rPr>
        <w:fldChar w:fldCharType="begin"/>
      </w:r>
      <w:r>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p>
    <w:p w:rsidR="006B7522" w:rsidRDefault="006B7522" w:rsidP="006B7522">
      <w:pPr>
        <w:rPr>
          <w:sz w:val="24"/>
          <w:szCs w:val="24"/>
        </w:rPr>
        <w:sectPr w:rsidR="006B752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Pr>
          <w:sz w:val="24"/>
          <w:szCs w:val="24"/>
        </w:rPr>
        <w:fldChar w:fldCharType="begin">
          <w:ffData>
            <w:name w:val="Text29"/>
            <w:enabled/>
            <w:calcOnExit w:val="0"/>
            <w:textInput/>
          </w:ffData>
        </w:fldChar>
      </w:r>
      <w:bookmarkStart w:id="13" w:name="Text29"/>
      <w:r>
        <w:rPr>
          <w:sz w:val="24"/>
          <w:szCs w:val="24"/>
        </w:rPr>
        <w:instrText xml:space="preserve"> FORMTEXT </w:instrText>
      </w:r>
      <w:r>
        <w:rPr>
          <w:sz w:val="24"/>
          <w:szCs w:val="24"/>
        </w:rPr>
      </w:r>
      <w:r>
        <w:rPr>
          <w:sz w:val="24"/>
          <w:szCs w:val="24"/>
        </w:rPr>
        <w:fldChar w:fldCharType="separate"/>
      </w:r>
      <w:r>
        <w:rPr>
          <w:noProof/>
          <w:sz w:val="24"/>
          <w:szCs w:val="24"/>
        </w:rPr>
        <w:t>Mr. Clifford Andre Attorney at Law</w:t>
      </w:r>
      <w:r>
        <w:rPr>
          <w:sz w:val="24"/>
          <w:szCs w:val="24"/>
        </w:rPr>
        <w:fldChar w:fldCharType="end"/>
      </w:r>
      <w:bookmarkEnd w:id="13"/>
      <w:r>
        <w:rPr>
          <w:sz w:val="24"/>
          <w:szCs w:val="24"/>
        </w:rPr>
        <w:fldChar w:fldCharType="begin"/>
      </w:r>
      <w:r>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for </w:t>
      </w:r>
      <w:bookmarkStart w:id="14" w:name="Dropdown12"/>
      <w:r>
        <w:rPr>
          <w:sz w:val="24"/>
          <w:szCs w:val="24"/>
        </w:rPr>
        <w:t xml:space="preserve">the </w:t>
      </w:r>
      <w:bookmarkStart w:id="15" w:name="Dropdown17"/>
      <w:bookmarkEnd w:id="14"/>
      <w:r>
        <w:rPr>
          <w:sz w:val="24"/>
          <w:szCs w:val="24"/>
        </w:rPr>
        <w:fldChar w:fldCharType="begin">
          <w:ffData>
            <w:name w:val="Dropdown17"/>
            <w:enabled/>
            <w:calcOnExit w:val="0"/>
            <w:ddList>
              <w:result w:val="1"/>
              <w:listEntry w:val="accused"/>
              <w:listEntry w:val="first accused"/>
            </w:ddList>
          </w:ffData>
        </w:fldChar>
      </w:r>
      <w:r>
        <w:rPr>
          <w:sz w:val="24"/>
          <w:szCs w:val="24"/>
        </w:rPr>
        <w:instrText xml:space="preserve"> FORMDROPDOWN </w:instrText>
      </w:r>
      <w:r w:rsidR="002B7033">
        <w:rPr>
          <w:sz w:val="24"/>
          <w:szCs w:val="24"/>
        </w:rPr>
      </w:r>
      <w:r w:rsidR="002B7033">
        <w:rPr>
          <w:sz w:val="24"/>
          <w:szCs w:val="24"/>
        </w:rPr>
        <w:fldChar w:fldCharType="separate"/>
      </w:r>
      <w:r>
        <w:rPr>
          <w:sz w:val="24"/>
          <w:szCs w:val="24"/>
        </w:rPr>
        <w:fldChar w:fldCharType="end"/>
      </w:r>
      <w:bookmarkEnd w:id="15"/>
    </w:p>
    <w:p w:rsidR="006B7522" w:rsidRDefault="006B7522" w:rsidP="006B7522">
      <w:pPr>
        <w:rPr>
          <w:sz w:val="24"/>
          <w:szCs w:val="24"/>
        </w:rPr>
      </w:pPr>
      <w:r>
        <w:rPr>
          <w:sz w:val="24"/>
          <w:szCs w:val="24"/>
        </w:rPr>
        <w:lastRenderedPageBreak/>
        <w:tab/>
      </w:r>
      <w:r>
        <w:rPr>
          <w:sz w:val="24"/>
          <w:szCs w:val="24"/>
        </w:rPr>
        <w:tab/>
      </w:r>
      <w:r>
        <w:rPr>
          <w:sz w:val="24"/>
          <w:szCs w:val="24"/>
        </w:rPr>
        <w:tab/>
      </w:r>
      <w:r>
        <w:rPr>
          <w:sz w:val="24"/>
          <w:szCs w:val="24"/>
        </w:rPr>
        <w:fldChar w:fldCharType="begin">
          <w:ffData>
            <w:name w:val="Text45"/>
            <w:enabled/>
            <w:calcOnExit w:val="0"/>
            <w:textInput/>
          </w:ffData>
        </w:fldChar>
      </w:r>
      <w:bookmarkStart w:id="16" w:name="Text45"/>
      <w:r>
        <w:rPr>
          <w:sz w:val="24"/>
          <w:szCs w:val="24"/>
        </w:rPr>
        <w:instrText xml:space="preserve"> FORMTEXT </w:instrText>
      </w:r>
      <w:r>
        <w:rPr>
          <w:sz w:val="24"/>
          <w:szCs w:val="24"/>
        </w:rPr>
      </w:r>
      <w:r>
        <w:rPr>
          <w:sz w:val="24"/>
          <w:szCs w:val="24"/>
        </w:rPr>
        <w:fldChar w:fldCharType="separate"/>
      </w:r>
      <w:r>
        <w:rPr>
          <w:noProof/>
          <w:sz w:val="24"/>
          <w:szCs w:val="24"/>
        </w:rPr>
        <w:t>Mrs. Alexia Amesbury Attorney at Law for the second accused</w:t>
      </w:r>
      <w:r>
        <w:rPr>
          <w:sz w:val="24"/>
          <w:szCs w:val="24"/>
        </w:rPr>
        <w:fldChar w:fldCharType="end"/>
      </w:r>
      <w:bookmarkEnd w:id="16"/>
    </w:p>
    <w:p w:rsidR="006B7522" w:rsidRDefault="006B7522" w:rsidP="006B7522">
      <w:pPr>
        <w:rPr>
          <w:sz w:val="24"/>
          <w:szCs w:val="24"/>
        </w:rPr>
        <w:sectPr w:rsidR="006B7522" w:rsidSect="00EF2051">
          <w:type w:val="continuous"/>
          <w:pgSz w:w="12240" w:h="15840"/>
          <w:pgMar w:top="1440" w:right="1440" w:bottom="1440" w:left="1440" w:header="720" w:footer="720" w:gutter="0"/>
          <w:cols w:space="720"/>
          <w:docGrid w:linePitch="360"/>
        </w:sectPr>
      </w:pPr>
    </w:p>
    <w:p w:rsidR="006B7522" w:rsidRPr="00E6492F" w:rsidRDefault="006B7522" w:rsidP="006B7522">
      <w:pPr>
        <w:spacing w:before="120" w:after="240"/>
        <w:rPr>
          <w:b/>
          <w:sz w:val="16"/>
          <w:szCs w:val="16"/>
        </w:rPr>
      </w:pPr>
      <w:r>
        <w:rPr>
          <w:sz w:val="24"/>
          <w:szCs w:val="24"/>
        </w:rPr>
        <w:lastRenderedPageBreak/>
        <w:t>Delivered</w:t>
      </w:r>
      <w:r w:rsidRPr="00E0467F">
        <w:rPr>
          <w:sz w:val="24"/>
          <w:szCs w:val="24"/>
        </w:rPr>
        <w:t>:</w:t>
      </w:r>
      <w:r>
        <w:rPr>
          <w:sz w:val="24"/>
          <w:szCs w:val="24"/>
        </w:rPr>
        <w:tab/>
      </w:r>
      <w:r>
        <w:rPr>
          <w:sz w:val="24"/>
          <w:szCs w:val="24"/>
        </w:rPr>
        <w:tab/>
      </w:r>
      <w:bookmarkStart w:id="17" w:name="Text26"/>
      <w:r>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8 July 2016</w:t>
      </w:r>
      <w:r>
        <w:rPr>
          <w:sz w:val="24"/>
          <w:szCs w:val="24"/>
        </w:rPr>
        <w:fldChar w:fldCharType="end"/>
      </w:r>
      <w:bookmarkEnd w:id="17"/>
    </w:p>
    <w:p w:rsidR="006B7522" w:rsidRPr="00C87FCA" w:rsidRDefault="006B7522" w:rsidP="006B7522">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6B7522" w:rsidRDefault="006B7522" w:rsidP="006B7522">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Pr>
          <w:b/>
          <w:sz w:val="24"/>
          <w:szCs w:val="24"/>
        </w:rPr>
        <w:instrText xml:space="preserve"> FORMDROPDOWN </w:instrText>
      </w:r>
      <w:r w:rsidR="002B7033">
        <w:rPr>
          <w:b/>
          <w:sz w:val="24"/>
          <w:szCs w:val="24"/>
        </w:rPr>
      </w:r>
      <w:r w:rsidR="002B7033">
        <w:rPr>
          <w:b/>
          <w:sz w:val="24"/>
          <w:szCs w:val="24"/>
        </w:rPr>
        <w:fldChar w:fldCharType="separate"/>
      </w:r>
      <w:r>
        <w:rPr>
          <w:b/>
          <w:sz w:val="24"/>
          <w:szCs w:val="24"/>
        </w:rPr>
        <w:fldChar w:fldCharType="end"/>
      </w:r>
      <w:bookmarkEnd w:id="19"/>
    </w:p>
    <w:p w:rsidR="006B7522" w:rsidRDefault="006B7522" w:rsidP="006B7522">
      <w:pPr>
        <w:pBdr>
          <w:top w:val="dotted" w:sz="4" w:space="1" w:color="auto"/>
          <w:bottom w:val="dotted" w:sz="4" w:space="1" w:color="auto"/>
        </w:pBdr>
        <w:jc w:val="center"/>
        <w:rPr>
          <w:b/>
          <w:sz w:val="24"/>
          <w:szCs w:val="24"/>
        </w:rPr>
      </w:pPr>
    </w:p>
    <w:p w:rsidR="006B7522" w:rsidRPr="001008BC" w:rsidRDefault="006B7522" w:rsidP="006B7522">
      <w:pPr>
        <w:pStyle w:val="ListParagraph"/>
        <w:widowControl/>
        <w:autoSpaceDE/>
        <w:autoSpaceDN/>
        <w:adjustRightInd/>
        <w:spacing w:line="360" w:lineRule="auto"/>
        <w:ind w:left="0"/>
        <w:contextualSpacing w:val="0"/>
        <w:jc w:val="both"/>
        <w:rPr>
          <w:b/>
          <w:sz w:val="16"/>
          <w:szCs w:val="16"/>
        </w:rPr>
      </w:pPr>
    </w:p>
    <w:p w:rsidR="006B7522" w:rsidRDefault="006B7522" w:rsidP="006B7522">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20" w:name="Dropdown9"/>
      <w:r>
        <w:rPr>
          <w:b/>
          <w:sz w:val="24"/>
          <w:szCs w:val="24"/>
        </w:rPr>
        <w:instrText xml:space="preserve"> FORMDROPDOWN </w:instrText>
      </w:r>
      <w:r w:rsidR="002B7033">
        <w:rPr>
          <w:b/>
          <w:sz w:val="24"/>
          <w:szCs w:val="24"/>
        </w:rPr>
      </w:r>
      <w:r w:rsidR="002B7033">
        <w:rPr>
          <w:b/>
          <w:sz w:val="24"/>
          <w:szCs w:val="24"/>
        </w:rPr>
        <w:fldChar w:fldCharType="separate"/>
      </w:r>
      <w:r>
        <w:rPr>
          <w:b/>
          <w:sz w:val="24"/>
          <w:szCs w:val="24"/>
        </w:rPr>
        <w:fldChar w:fldCharType="end"/>
      </w:r>
      <w:bookmarkEnd w:id="20"/>
    </w:p>
    <w:p w:rsidR="006B7522" w:rsidRDefault="006B7522" w:rsidP="006B7522">
      <w:pPr>
        <w:pStyle w:val="ListParagraph"/>
        <w:widowControl/>
        <w:autoSpaceDE/>
        <w:autoSpaceDN/>
        <w:adjustRightInd/>
        <w:spacing w:after="240" w:line="360" w:lineRule="auto"/>
        <w:ind w:left="0"/>
        <w:contextualSpacing w:val="0"/>
        <w:jc w:val="both"/>
        <w:rPr>
          <w:b/>
          <w:sz w:val="24"/>
          <w:szCs w:val="24"/>
        </w:rPr>
        <w:sectPr w:rsidR="006B7522" w:rsidSect="00EF2051">
          <w:type w:val="continuous"/>
          <w:pgSz w:w="12240" w:h="15840"/>
          <w:pgMar w:top="1440" w:right="1440" w:bottom="1440" w:left="1440" w:header="720" w:footer="720" w:gutter="0"/>
          <w:cols w:space="720"/>
          <w:docGrid w:linePitch="360"/>
        </w:sectPr>
      </w:pPr>
    </w:p>
    <w:p w:rsidR="00CE0679" w:rsidRDefault="00CE0679" w:rsidP="00CE0679">
      <w:pPr>
        <w:pStyle w:val="JudgmentText"/>
        <w:rPr>
          <w:rFonts w:eastAsiaTheme="minorHAnsi"/>
          <w:lang w:val="en-US"/>
        </w:rPr>
      </w:pPr>
      <w:r>
        <w:lastRenderedPageBreak/>
        <w:t xml:space="preserve">The two convicts Noel </w:t>
      </w:r>
      <w:proofErr w:type="spellStart"/>
      <w:r>
        <w:t>Labiche</w:t>
      </w:r>
      <w:proofErr w:type="spellEnd"/>
      <w:r>
        <w:t xml:space="preserve"> and Basil </w:t>
      </w:r>
      <w:proofErr w:type="spellStart"/>
      <w:r>
        <w:t>Joubert</w:t>
      </w:r>
      <w:proofErr w:type="spellEnd"/>
      <w:r>
        <w:t>, pleaded guilty to the offence of trafficking in a</w:t>
      </w:r>
      <w:r w:rsidR="005F158C">
        <w:t xml:space="preserve"> quantity of 49.8 (pure quantity 23.9) grams of</w:t>
      </w:r>
      <w:r>
        <w:t xml:space="preserve"> controlled drug namely Heroin while the 2</w:t>
      </w:r>
      <w:r w:rsidRPr="00CE0679">
        <w:rPr>
          <w:vertAlign w:val="superscript"/>
        </w:rPr>
        <w:t>nd</w:t>
      </w:r>
      <w:r>
        <w:t xml:space="preserve"> convict in addition pleaded guilty to a 2</w:t>
      </w:r>
      <w:r w:rsidRPr="00CE0679">
        <w:rPr>
          <w:vertAlign w:val="superscript"/>
        </w:rPr>
        <w:t>nd</w:t>
      </w:r>
      <w:r>
        <w:t xml:space="preserve"> Count of possession of 0.4 grams of Cannabis Herbal, charges framed under the Misuse of Drugs Act (MODA) CAP 133. The said Act has been repealed by the new </w:t>
      </w:r>
      <w:r w:rsidR="005763C0">
        <w:t xml:space="preserve">Misuse of Drugs  Act 5 of 2016 </w:t>
      </w:r>
      <w:r>
        <w:t xml:space="preserve"> </w:t>
      </w:r>
      <w:r w:rsidR="005763C0">
        <w:t>(</w:t>
      </w:r>
      <w:r>
        <w:t>hereinafter referred to as the new Act) with saving clauses as contained in section  55 (1) of  the new Act.</w:t>
      </w:r>
    </w:p>
    <w:p w:rsidR="00CE0679" w:rsidRDefault="00CE0679" w:rsidP="00CE0679">
      <w:pPr>
        <w:pStyle w:val="JudgmentText"/>
      </w:pPr>
      <w:r>
        <w:lastRenderedPageBreak/>
        <w:t xml:space="preserve">In the case of </w:t>
      </w:r>
      <w:r w:rsidR="005763C0">
        <w:rPr>
          <w:b/>
          <w:i/>
        </w:rPr>
        <w:t xml:space="preserve">Cousin </w:t>
      </w:r>
      <w:proofErr w:type="gramStart"/>
      <w:r w:rsidR="005763C0">
        <w:rPr>
          <w:b/>
          <w:i/>
        </w:rPr>
        <w:t>v</w:t>
      </w:r>
      <w:proofErr w:type="gramEnd"/>
      <w:r w:rsidR="005763C0">
        <w:rPr>
          <w:b/>
          <w:i/>
        </w:rPr>
        <w:t xml:space="preserve"> R </w:t>
      </w:r>
      <w:r>
        <w:rPr>
          <w:b/>
          <w:i/>
        </w:rPr>
        <w:t>SCA 21 of 2013</w:t>
      </w:r>
      <w:r>
        <w:t xml:space="preserve"> and in the case of</w:t>
      </w:r>
      <w:r>
        <w:rPr>
          <w:rStyle w:val="apple-converted-space"/>
          <w:rFonts w:eastAsia="Calibri"/>
          <w:color w:val="000000"/>
        </w:rPr>
        <w:t> </w:t>
      </w:r>
      <w:proofErr w:type="spellStart"/>
      <w:r>
        <w:rPr>
          <w:rStyle w:val="Strong"/>
          <w:i/>
          <w:color w:val="000000"/>
        </w:rPr>
        <w:t>Kelson</w:t>
      </w:r>
      <w:proofErr w:type="spellEnd"/>
      <w:r>
        <w:rPr>
          <w:rStyle w:val="Strong"/>
          <w:i/>
          <w:color w:val="000000"/>
        </w:rPr>
        <w:t xml:space="preserve"> Alcindor v R [2015]</w:t>
      </w:r>
      <w:r>
        <w:rPr>
          <w:rStyle w:val="Strong"/>
          <w:color w:val="000000"/>
        </w:rPr>
        <w:t xml:space="preserve"> </w:t>
      </w:r>
      <w:r>
        <w:rPr>
          <w:rStyle w:val="Strong"/>
          <w:i/>
          <w:color w:val="000000"/>
        </w:rPr>
        <w:t>SCCA 7</w:t>
      </w:r>
      <w:r>
        <w:t xml:space="preserve">, it was held that the Appellant should benefit from the change of law in his favour, along the principle of </w:t>
      </w:r>
      <w:r>
        <w:rPr>
          <w:i/>
        </w:rPr>
        <w:t xml:space="preserve">“la </w:t>
      </w:r>
      <w:proofErr w:type="spellStart"/>
      <w:r>
        <w:rPr>
          <w:i/>
        </w:rPr>
        <w:t>peine</w:t>
      </w:r>
      <w:proofErr w:type="spellEnd"/>
      <w:r>
        <w:rPr>
          <w:i/>
        </w:rPr>
        <w:t xml:space="preserve"> la plus </w:t>
      </w:r>
      <w:proofErr w:type="spellStart"/>
      <w:r>
        <w:rPr>
          <w:i/>
        </w:rPr>
        <w:t>douce</w:t>
      </w:r>
      <w:proofErr w:type="spellEnd"/>
      <w:r>
        <w:rPr>
          <w:i/>
        </w:rPr>
        <w:t>.”</w:t>
      </w:r>
      <w:r>
        <w:t xml:space="preserve"> – </w:t>
      </w:r>
      <w:r>
        <w:rPr>
          <w:i/>
        </w:rPr>
        <w:t>See</w:t>
      </w:r>
      <w:r>
        <w:rPr>
          <w:rStyle w:val="apple-converted-space"/>
          <w:rFonts w:eastAsia="Calibri"/>
          <w:i/>
          <w:color w:val="000000"/>
        </w:rPr>
        <w:t> </w:t>
      </w:r>
      <w:proofErr w:type="spellStart"/>
      <w:r>
        <w:rPr>
          <w:rStyle w:val="Strong"/>
          <w:i/>
          <w:color w:val="000000"/>
        </w:rPr>
        <w:t>Aubeeluck</w:t>
      </w:r>
      <w:proofErr w:type="spellEnd"/>
      <w:r>
        <w:rPr>
          <w:rStyle w:val="Strong"/>
          <w:i/>
          <w:color w:val="000000"/>
        </w:rPr>
        <w:t xml:space="preserve"> </w:t>
      </w:r>
      <w:proofErr w:type="spellStart"/>
      <w:r>
        <w:rPr>
          <w:rStyle w:val="Strong"/>
          <w:i/>
          <w:color w:val="000000"/>
        </w:rPr>
        <w:t>Gangasing</w:t>
      </w:r>
      <w:proofErr w:type="spellEnd"/>
      <w:r>
        <w:rPr>
          <w:rStyle w:val="Strong"/>
          <w:i/>
          <w:color w:val="000000"/>
        </w:rPr>
        <w:t xml:space="preserve"> v The State of Mauritius</w:t>
      </w:r>
      <w:r>
        <w:rPr>
          <w:rStyle w:val="apple-converted-space"/>
          <w:rFonts w:eastAsia="Calibri"/>
          <w:i/>
          <w:color w:val="000000"/>
        </w:rPr>
        <w:t> </w:t>
      </w:r>
      <w:r>
        <w:rPr>
          <w:rStyle w:val="Strong"/>
          <w:i/>
          <w:color w:val="000000"/>
        </w:rPr>
        <w:t>[2010] UKPC 13.</w:t>
      </w:r>
      <w:r>
        <w:t>  The Appellants’ sentence in both cases were reduced to be in conformity with the amended law which was beneficial to the Appellants. Further Section 51 (2) of the new Act states outstanding sentences under the earlier Act, must be reviewed in accordance with the new MODA.</w:t>
      </w:r>
    </w:p>
    <w:p w:rsidR="00CE0679" w:rsidRDefault="00CE0679" w:rsidP="00CE0679">
      <w:pPr>
        <w:pStyle w:val="JudgmentText"/>
      </w:pPr>
      <w:r>
        <w:t xml:space="preserve">Therefore, based on the aforementioned case law, this court will take into consideration </w:t>
      </w:r>
      <w:r w:rsidR="00227DF2">
        <w:t xml:space="preserve">the benefits applicable to the two convicts brought about by the change of law. Under the </w:t>
      </w:r>
      <w:r w:rsidR="00BD52BC">
        <w:t>old law both the convicts were liable on</w:t>
      </w:r>
      <w:r w:rsidR="00227DF2">
        <w:t xml:space="preserve"> Count 1 to a term of 60 years imprisonment and a fine of SR 500,000. The old law also specified a minimum mandatory term of 20 years imprisonment for </w:t>
      </w:r>
      <w:r w:rsidR="00BD52BC">
        <w:t>Count 1.</w:t>
      </w:r>
    </w:p>
    <w:p w:rsidR="00CE0679" w:rsidRDefault="00CE0679" w:rsidP="00E7553E">
      <w:pPr>
        <w:pStyle w:val="JudgmentText"/>
      </w:pPr>
      <w:r>
        <w:t>Un</w:t>
      </w:r>
      <w:r w:rsidR="00BD52BC">
        <w:t>der the new Act there is no minimum mandatory term of imprisonment for Count 1 and therefore in sentencing</w:t>
      </w:r>
      <w:r w:rsidR="005357AD">
        <w:t>, it is the duty of this court to ensure that</w:t>
      </w:r>
      <w:r w:rsidR="00BD52BC">
        <w:t xml:space="preserve"> this benefit accrues to the two convicts.</w:t>
      </w:r>
      <w:r w:rsidR="00E7553E">
        <w:t xml:space="preserve"> I further note from the facts before me</w:t>
      </w:r>
      <w:r w:rsidR="005763C0">
        <w:t xml:space="preserve"> </w:t>
      </w:r>
      <w:r w:rsidR="00E7553E">
        <w:t>that</w:t>
      </w:r>
      <w:r>
        <w:t xml:space="preserve"> no aggravating circumstances</w:t>
      </w:r>
      <w:r w:rsidR="00924656">
        <w:t>,</w:t>
      </w:r>
      <w:r>
        <w:t xml:space="preserve"> as set out in section 48 of the new Act</w:t>
      </w:r>
      <w:r w:rsidR="005763C0">
        <w:t xml:space="preserve"> exist</w:t>
      </w:r>
      <w:r w:rsidR="00E7553E">
        <w:t xml:space="preserve"> in this case. </w:t>
      </w:r>
      <w:r>
        <w:t>Further as the quantity is below 250 grams, the offence cannot be considered to be aggravated in nature. T</w:t>
      </w:r>
      <w:r w:rsidR="00E7553E">
        <w:t>herefore</w:t>
      </w:r>
      <w:r w:rsidR="005357AD">
        <w:t xml:space="preserve">, as </w:t>
      </w:r>
      <w:r w:rsidR="00924656">
        <w:t xml:space="preserve">the offences are not </w:t>
      </w:r>
      <w:r w:rsidR="0098524C">
        <w:t>a</w:t>
      </w:r>
      <w:r w:rsidR="00924656">
        <w:t>ggravated in nature</w:t>
      </w:r>
      <w:r w:rsidR="005357AD">
        <w:t xml:space="preserve"> on consideration of the amendment to the Prisons Act brought about by Act 6 of 2016, both convicts will benefit from the new amendment to the said Act in that they will be entitled to remission.</w:t>
      </w:r>
      <w:r w:rsidR="00E7553E">
        <w:t xml:space="preserve"> </w:t>
      </w:r>
    </w:p>
    <w:p w:rsidR="00CE0679" w:rsidRDefault="00CE0679" w:rsidP="00CE0679">
      <w:pPr>
        <w:pStyle w:val="JudgmentText"/>
      </w:pPr>
      <w:r>
        <w:t>I have considered the plea in mitigation made by both learned counsel for the convicts. The quantity of controlled drug concerned in this case is 49.8 grams in total, containing 23.9 grams of pure Heroin. Both convicts have pleaded guilty without proceeding to trial, thereby saving the time of court and by doing so expressed remorse. Both convicts are 1</w:t>
      </w:r>
      <w:r>
        <w:rPr>
          <w:vertAlign w:val="superscript"/>
        </w:rPr>
        <w:t>st</w:t>
      </w:r>
      <w:r>
        <w:t xml:space="preserve"> offenders. Having considered the plea in mitigation made on behalf of both the convicts, I observe the 1</w:t>
      </w:r>
      <w:r>
        <w:rPr>
          <w:vertAlign w:val="superscript"/>
        </w:rPr>
        <w:t>st</w:t>
      </w:r>
      <w:r>
        <w:t xml:space="preserve"> convict in this case is</w:t>
      </w:r>
      <w:r w:rsidR="005357AD">
        <w:t xml:space="preserve"> 23 years of age and</w:t>
      </w:r>
      <w:r w:rsidR="004B1AA5">
        <w:t xml:space="preserve"> has expressed remorse and regret by pleading guilty at the 1</w:t>
      </w:r>
      <w:r w:rsidR="004B1AA5" w:rsidRPr="004B1AA5">
        <w:rPr>
          <w:vertAlign w:val="superscript"/>
        </w:rPr>
        <w:t>st</w:t>
      </w:r>
      <w:r w:rsidR="004B1AA5">
        <w:t xml:space="preserve"> instance.</w:t>
      </w:r>
    </w:p>
    <w:p w:rsidR="00CE0679" w:rsidRDefault="004B1AA5" w:rsidP="00CE0679">
      <w:pPr>
        <w:pStyle w:val="JudgmentText"/>
      </w:pPr>
      <w:r>
        <w:lastRenderedPageBreak/>
        <w:t>Learned counsel on behalf of the 2</w:t>
      </w:r>
      <w:r w:rsidRPr="004B1AA5">
        <w:rPr>
          <w:vertAlign w:val="superscript"/>
        </w:rPr>
        <w:t>nd</w:t>
      </w:r>
      <w:r>
        <w:t xml:space="preserve"> convict </w:t>
      </w:r>
      <w:r w:rsidR="005763C0">
        <w:t>in her plea in mitigation,</w:t>
      </w:r>
      <w:r w:rsidR="00D32C28">
        <w:t xml:space="preserve"> </w:t>
      </w:r>
      <w:r>
        <w:t xml:space="preserve">stated that the time of court had been saved and </w:t>
      </w:r>
      <w:r w:rsidR="00D32C28">
        <w:t>moved for leniency on the 2</w:t>
      </w:r>
      <w:r w:rsidR="00D32C28" w:rsidRPr="00D32C28">
        <w:rPr>
          <w:vertAlign w:val="superscript"/>
        </w:rPr>
        <w:t>nd</w:t>
      </w:r>
      <w:r w:rsidR="00D32C28">
        <w:t xml:space="preserve"> accused as he was 49 years of age and was only a 1</w:t>
      </w:r>
      <w:r w:rsidR="00D32C28" w:rsidRPr="00D32C28">
        <w:rPr>
          <w:vertAlign w:val="superscript"/>
        </w:rPr>
        <w:t>st</w:t>
      </w:r>
      <w:r w:rsidR="00D32C28">
        <w:t xml:space="preserve"> offender even at that age.</w:t>
      </w:r>
    </w:p>
    <w:p w:rsidR="00CE0679" w:rsidRDefault="00CE0679" w:rsidP="00CE0679">
      <w:pPr>
        <w:pStyle w:val="JudgmentText"/>
      </w:pPr>
      <w:r>
        <w:t>I observe that the charge of trafficking is not based on the presumption but on the acts committed by the convicts, amounting to trafficking as per definition in section 2</w:t>
      </w:r>
      <w:r w:rsidR="00024C2B">
        <w:t xml:space="preserve"> of the Act</w:t>
      </w:r>
      <w:r>
        <w:t xml:space="preserve">. I also observe the total quantity of controlled drug  is 49.8 grams, containing 23.9 grams of pure Heroin and the trafficking offence is in respect of a Class A drug. </w:t>
      </w:r>
    </w:p>
    <w:p w:rsidR="00972288" w:rsidRDefault="00CE0679" w:rsidP="00CC4ED2">
      <w:pPr>
        <w:pStyle w:val="JudgmentText"/>
      </w:pPr>
      <w:r>
        <w:t>On consideration of all the aforementioned factors, I proceed to sentence the 2</w:t>
      </w:r>
      <w:r w:rsidRPr="00972288">
        <w:rPr>
          <w:vertAlign w:val="superscript"/>
        </w:rPr>
        <w:t>nd</w:t>
      </w:r>
      <w:r>
        <w:t xml:space="preserve"> convict to a term of 5 (five) years imprisonment and a fine of SR 20.000/ (twenty thousand)</w:t>
      </w:r>
      <w:r w:rsidR="0098524C">
        <w:t xml:space="preserve"> on Count 1</w:t>
      </w:r>
      <w:r>
        <w:t>.</w:t>
      </w:r>
      <w:r w:rsidR="0098524C">
        <w:t xml:space="preserve"> On</w:t>
      </w:r>
      <w:r w:rsidR="00D32C28">
        <w:t xml:space="preserve"> Count 2, I proceed to impose </w:t>
      </w:r>
      <w:r w:rsidR="00556AC7">
        <w:t xml:space="preserve">only </w:t>
      </w:r>
      <w:r w:rsidR="00D32C28">
        <w:t>a fine of SR 2500.</w:t>
      </w:r>
      <w:r w:rsidR="00D32C28" w:rsidRPr="00D32C28">
        <w:t xml:space="preserve"> </w:t>
      </w:r>
      <w:r w:rsidR="00D32C28">
        <w:t>In default of payment of the total fine of SR 22,500, the 2</w:t>
      </w:r>
      <w:r w:rsidR="00D32C28" w:rsidRPr="00972288">
        <w:rPr>
          <w:vertAlign w:val="superscript"/>
        </w:rPr>
        <w:t>nd</w:t>
      </w:r>
      <w:r w:rsidR="00D32C28">
        <w:t xml:space="preserve"> convict is sentenced to a further term of 6 months imprisonment which would run consecutive to the</w:t>
      </w:r>
      <w:r w:rsidR="00972288">
        <w:t xml:space="preserve"> term of 5 years imposed herein.</w:t>
      </w:r>
    </w:p>
    <w:p w:rsidR="002C4BDD" w:rsidRDefault="00CE0679" w:rsidP="00CC4ED2">
      <w:pPr>
        <w:pStyle w:val="JudgmentText"/>
      </w:pPr>
      <w:r>
        <w:t>In regard to the 1</w:t>
      </w:r>
      <w:r w:rsidRPr="00972288">
        <w:rPr>
          <w:vertAlign w:val="superscript"/>
        </w:rPr>
        <w:t>st</w:t>
      </w:r>
      <w:r>
        <w:t xml:space="preserve"> convict, in addition to the mitigating factors mentioned which are similar in nature to that of the 2</w:t>
      </w:r>
      <w:r w:rsidRPr="00972288">
        <w:rPr>
          <w:vertAlign w:val="superscript"/>
        </w:rPr>
        <w:t>nd</w:t>
      </w:r>
      <w:r>
        <w:t xml:space="preserve"> convict, there exists a strong mitigating factor which warrants special recognition by Court and that is that he co- operated with the NDEA agents in their investigation and assisted them in the arrest of the principal offender, the 2</w:t>
      </w:r>
      <w:r w:rsidRPr="00972288">
        <w:rPr>
          <w:vertAlign w:val="superscript"/>
        </w:rPr>
        <w:t>nd</w:t>
      </w:r>
      <w:r>
        <w:t xml:space="preserve"> convict, eventually leading to his successful conviction. I am aware that like offenders should be treated alike and there should be parity in sentencing co – accused, but considering the strong and special mitigating circumstances peculiar to this case in respect of the 1</w:t>
      </w:r>
      <w:r w:rsidRPr="00972288">
        <w:rPr>
          <w:vertAlign w:val="superscript"/>
        </w:rPr>
        <w:t>st</w:t>
      </w:r>
      <w:r>
        <w:t xml:space="preserve"> convict, I intend deviating from the norm and sentencing the 1</w:t>
      </w:r>
      <w:r w:rsidRPr="00972288">
        <w:rPr>
          <w:vertAlign w:val="superscript"/>
        </w:rPr>
        <w:t>st</w:t>
      </w:r>
      <w:r>
        <w:t xml:space="preserve"> convict to a lesser sentence of  3 ( three) years imprisonment only. </w:t>
      </w:r>
    </w:p>
    <w:p w:rsidR="0098524C" w:rsidRPr="005763C0" w:rsidRDefault="00CE0679" w:rsidP="005763C0">
      <w:pPr>
        <w:pStyle w:val="JudgmentText"/>
        <w:sectPr w:rsidR="0098524C" w:rsidRPr="005763C0" w:rsidSect="00EF2051">
          <w:type w:val="continuous"/>
          <w:pgSz w:w="12240" w:h="15840"/>
          <w:pgMar w:top="1440" w:right="1440" w:bottom="1440" w:left="1440" w:header="720" w:footer="720" w:gutter="0"/>
          <w:cols w:space="720"/>
          <w:formProt w:val="0"/>
          <w:docGrid w:linePitch="360"/>
        </w:sectPr>
      </w:pPr>
      <w:r>
        <w:t>Time spent in remand</w:t>
      </w:r>
      <w:r w:rsidR="0098524C">
        <w:t xml:space="preserve"> by both convicts</w:t>
      </w:r>
      <w:r>
        <w:t xml:space="preserve"> </w:t>
      </w:r>
      <w:r w:rsidR="00972288">
        <w:t xml:space="preserve">to count towards sentence. </w:t>
      </w:r>
      <w:r w:rsidR="0098524C">
        <w:t xml:space="preserve"> Further both</w:t>
      </w:r>
      <w:r w:rsidR="00972288">
        <w:t xml:space="preserve"> </w:t>
      </w:r>
      <w:r>
        <w:t>convict</w:t>
      </w:r>
      <w:r w:rsidR="00972288">
        <w:t xml:space="preserve">s </w:t>
      </w:r>
      <w:r>
        <w:t>will be entitled to remission as the offence</w:t>
      </w:r>
      <w:r w:rsidR="0098524C">
        <w:t xml:space="preserve">s are not </w:t>
      </w:r>
      <w:r>
        <w:t>aggravated in nature.</w:t>
      </w:r>
      <w:r w:rsidR="006B7522" w:rsidRPr="002C4BDD">
        <w:rPr>
          <w:highlight w:val="lightGray"/>
        </w:rPr>
        <w:fldChar w:fldCharType="begin"/>
      </w:r>
      <w:r w:rsidR="006B7522" w:rsidRPr="002C4BDD">
        <w:rPr>
          <w:highlight w:val="lightGray"/>
        </w:rPr>
        <w:instrText xml:space="preserve">  </w:instrText>
      </w:r>
      <w:r w:rsidR="006B7522" w:rsidRPr="002C4BDD">
        <w:rPr>
          <w:highlight w:val="lightGray"/>
        </w:rPr>
        <w:fldChar w:fldCharType="end"/>
      </w:r>
    </w:p>
    <w:p w:rsidR="006B7522" w:rsidRDefault="006B7522" w:rsidP="006B7522">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bookmarkStart w:id="21" w:name="Text19"/>
      <w:r>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8 July 2016</w:t>
      </w:r>
      <w:r>
        <w:rPr>
          <w:sz w:val="24"/>
          <w:szCs w:val="24"/>
        </w:rPr>
        <w:fldChar w:fldCharType="end"/>
      </w:r>
      <w:bookmarkEnd w:id="21"/>
    </w:p>
    <w:p w:rsidR="006B7522" w:rsidRDefault="006B7522" w:rsidP="006B7522">
      <w:pPr>
        <w:pStyle w:val="ListParagraph"/>
        <w:widowControl/>
        <w:autoSpaceDE/>
        <w:autoSpaceDN/>
        <w:adjustRightInd/>
        <w:spacing w:line="360" w:lineRule="auto"/>
        <w:ind w:left="0"/>
        <w:contextualSpacing w:val="0"/>
        <w:jc w:val="both"/>
        <w:rPr>
          <w:sz w:val="24"/>
          <w:szCs w:val="24"/>
        </w:rPr>
        <w:sectPr w:rsidR="006B7522" w:rsidSect="00EF2051">
          <w:type w:val="continuous"/>
          <w:pgSz w:w="12240" w:h="15840"/>
          <w:pgMar w:top="1440" w:right="1440" w:bottom="1440" w:left="1440" w:header="720" w:footer="720" w:gutter="0"/>
          <w:cols w:space="720"/>
          <w:docGrid w:linePitch="360"/>
        </w:sectPr>
      </w:pPr>
    </w:p>
    <w:p w:rsidR="006B7522" w:rsidRDefault="006B7522" w:rsidP="006B7522">
      <w:pPr>
        <w:pStyle w:val="ListParagraph"/>
        <w:widowControl/>
        <w:autoSpaceDE/>
        <w:autoSpaceDN/>
        <w:adjustRightInd/>
        <w:spacing w:line="360" w:lineRule="auto"/>
        <w:ind w:left="0"/>
        <w:contextualSpacing w:val="0"/>
        <w:jc w:val="both"/>
        <w:rPr>
          <w:sz w:val="24"/>
          <w:szCs w:val="24"/>
        </w:rPr>
      </w:pPr>
    </w:p>
    <w:p w:rsidR="006B7522" w:rsidRDefault="006B7522" w:rsidP="006B7522">
      <w:pPr>
        <w:pStyle w:val="ListParagraph"/>
        <w:widowControl/>
        <w:autoSpaceDE/>
        <w:autoSpaceDN/>
        <w:adjustRightInd/>
        <w:spacing w:after="120"/>
        <w:ind w:left="0"/>
        <w:contextualSpacing w:val="0"/>
        <w:jc w:val="both"/>
        <w:rPr>
          <w:sz w:val="24"/>
          <w:szCs w:val="24"/>
        </w:rPr>
        <w:sectPr w:rsidR="006B7522" w:rsidSect="00EF2051">
          <w:type w:val="continuous"/>
          <w:pgSz w:w="12240" w:h="15840"/>
          <w:pgMar w:top="1440" w:right="1440" w:bottom="1440" w:left="1440" w:header="720" w:footer="720" w:gutter="0"/>
          <w:cols w:space="720"/>
          <w:formProt w:val="0"/>
          <w:docGrid w:linePitch="360"/>
        </w:sectPr>
      </w:pPr>
    </w:p>
    <w:p w:rsidR="006B7522" w:rsidRDefault="006B7522" w:rsidP="006B7522">
      <w:pPr>
        <w:pStyle w:val="ListParagraph"/>
        <w:widowControl/>
        <w:autoSpaceDE/>
        <w:autoSpaceDN/>
        <w:adjustRightInd/>
        <w:spacing w:after="120"/>
        <w:ind w:left="0"/>
        <w:contextualSpacing w:val="0"/>
        <w:jc w:val="both"/>
        <w:rPr>
          <w:sz w:val="24"/>
          <w:szCs w:val="24"/>
        </w:rPr>
      </w:pPr>
    </w:p>
    <w:p w:rsidR="006B7522" w:rsidRPr="002A7376" w:rsidRDefault="006B7522" w:rsidP="006B7522">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2" w:name="Dropdown6"/>
      <w:r>
        <w:rPr>
          <w:sz w:val="24"/>
          <w:szCs w:val="24"/>
        </w:rPr>
        <w:instrText xml:space="preserve"> FORMDROPDOWN </w:instrText>
      </w:r>
      <w:r w:rsidR="002B7033">
        <w:rPr>
          <w:sz w:val="24"/>
          <w:szCs w:val="24"/>
        </w:rPr>
      </w:r>
      <w:r w:rsidR="002B7033">
        <w:rPr>
          <w:sz w:val="24"/>
          <w:szCs w:val="24"/>
        </w:rPr>
        <w:fldChar w:fldCharType="separate"/>
      </w:r>
      <w:r>
        <w:rPr>
          <w:sz w:val="24"/>
          <w:szCs w:val="24"/>
        </w:rPr>
        <w:fldChar w:fldCharType="end"/>
      </w:r>
      <w:bookmarkEnd w:id="22"/>
    </w:p>
    <w:p w:rsidR="006B7522" w:rsidRPr="00E33F35" w:rsidRDefault="006B7522" w:rsidP="006B7522">
      <w:pPr>
        <w:pStyle w:val="ListParagraph"/>
        <w:widowControl/>
        <w:autoSpaceDE/>
        <w:autoSpaceDN/>
        <w:adjustRightInd/>
        <w:ind w:left="0"/>
        <w:contextualSpacing w:val="0"/>
        <w:jc w:val="both"/>
        <w:rPr>
          <w:b/>
          <w:sz w:val="24"/>
          <w:szCs w:val="24"/>
        </w:rPr>
      </w:pPr>
      <w:r>
        <w:rPr>
          <w:b/>
          <w:sz w:val="24"/>
          <w:szCs w:val="24"/>
        </w:rPr>
        <w:t>Judge of the Supreme Court</w:t>
      </w:r>
      <w:r w:rsidRPr="00E33F35">
        <w:rPr>
          <w:b/>
          <w:sz w:val="24"/>
          <w:szCs w:val="24"/>
        </w:rPr>
        <w:fldChar w:fldCharType="begin"/>
      </w:r>
      <w:r w:rsidRPr="00E33F35">
        <w:rPr>
          <w:b/>
          <w:sz w:val="24"/>
          <w:szCs w:val="24"/>
        </w:rPr>
        <w:instrText xml:space="preserve">  </w:instrText>
      </w:r>
      <w:r w:rsidRPr="00E33F35">
        <w:rPr>
          <w:b/>
          <w:sz w:val="24"/>
          <w:szCs w:val="24"/>
        </w:rPr>
        <w:fldChar w:fldCharType="end"/>
      </w:r>
    </w:p>
    <w:p w:rsidR="008C6964" w:rsidRDefault="002B7033"/>
    <w:sectPr w:rsidR="008C696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39" w:rsidRDefault="00893A02">
      <w:r>
        <w:separator/>
      </w:r>
    </w:p>
  </w:endnote>
  <w:endnote w:type="continuationSeparator" w:id="0">
    <w:p w:rsidR="00FF5C39" w:rsidRDefault="0089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B7522">
    <w:pPr>
      <w:pStyle w:val="Footer"/>
      <w:jc w:val="center"/>
    </w:pPr>
    <w:r>
      <w:fldChar w:fldCharType="begin"/>
    </w:r>
    <w:r>
      <w:instrText xml:space="preserve"> PAGE   \* MERGEFORMAT </w:instrText>
    </w:r>
    <w:r>
      <w:fldChar w:fldCharType="separate"/>
    </w:r>
    <w:r w:rsidR="002B703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39" w:rsidRDefault="00893A02">
      <w:r>
        <w:separator/>
      </w:r>
    </w:p>
  </w:footnote>
  <w:footnote w:type="continuationSeparator" w:id="0">
    <w:p w:rsidR="00FF5C39" w:rsidRDefault="0089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522"/>
    <w:rsid w:val="00024C2B"/>
    <w:rsid w:val="000422E7"/>
    <w:rsid w:val="00064A6F"/>
    <w:rsid w:val="000E5E34"/>
    <w:rsid w:val="0019714D"/>
    <w:rsid w:val="001B0EB4"/>
    <w:rsid w:val="00227DF2"/>
    <w:rsid w:val="002B7033"/>
    <w:rsid w:val="002C4BDD"/>
    <w:rsid w:val="00390EB7"/>
    <w:rsid w:val="004324C0"/>
    <w:rsid w:val="00437DEF"/>
    <w:rsid w:val="004B1AA5"/>
    <w:rsid w:val="004E7C63"/>
    <w:rsid w:val="005357AD"/>
    <w:rsid w:val="00556AC7"/>
    <w:rsid w:val="00572BA8"/>
    <w:rsid w:val="005763C0"/>
    <w:rsid w:val="005D62D9"/>
    <w:rsid w:val="005F158C"/>
    <w:rsid w:val="00613E6E"/>
    <w:rsid w:val="0065355F"/>
    <w:rsid w:val="0065421F"/>
    <w:rsid w:val="006A3C4B"/>
    <w:rsid w:val="006B7522"/>
    <w:rsid w:val="007A69E3"/>
    <w:rsid w:val="007A7FB1"/>
    <w:rsid w:val="00847C13"/>
    <w:rsid w:val="00851C9F"/>
    <w:rsid w:val="00887D03"/>
    <w:rsid w:val="00893A02"/>
    <w:rsid w:val="00922182"/>
    <w:rsid w:val="00924656"/>
    <w:rsid w:val="00963C4B"/>
    <w:rsid w:val="00972288"/>
    <w:rsid w:val="00975A08"/>
    <w:rsid w:val="00975F56"/>
    <w:rsid w:val="0098524C"/>
    <w:rsid w:val="009B59D9"/>
    <w:rsid w:val="00A224BD"/>
    <w:rsid w:val="00AB539A"/>
    <w:rsid w:val="00AE1F87"/>
    <w:rsid w:val="00B24815"/>
    <w:rsid w:val="00BA72BC"/>
    <w:rsid w:val="00BD52BC"/>
    <w:rsid w:val="00BF6A28"/>
    <w:rsid w:val="00BF76AF"/>
    <w:rsid w:val="00C23D69"/>
    <w:rsid w:val="00C363D0"/>
    <w:rsid w:val="00C75AE9"/>
    <w:rsid w:val="00C84754"/>
    <w:rsid w:val="00CC4D36"/>
    <w:rsid w:val="00CD331B"/>
    <w:rsid w:val="00CE0679"/>
    <w:rsid w:val="00CF2079"/>
    <w:rsid w:val="00D32C28"/>
    <w:rsid w:val="00D52DA8"/>
    <w:rsid w:val="00D665BE"/>
    <w:rsid w:val="00D8585A"/>
    <w:rsid w:val="00D87479"/>
    <w:rsid w:val="00E7050A"/>
    <w:rsid w:val="00E7553E"/>
    <w:rsid w:val="00FF0706"/>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318D6-8031-4712-8174-2F373A6C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22"/>
    <w:pPr>
      <w:widowControl w:val="0"/>
      <w:autoSpaceDE w:val="0"/>
      <w:autoSpaceDN w:val="0"/>
      <w:adjustRightInd w:val="0"/>
      <w:spacing w:line="240" w:lineRule="auto"/>
      <w:jc w:val="left"/>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22"/>
    <w:pPr>
      <w:ind w:left="720"/>
      <w:contextualSpacing/>
    </w:pPr>
    <w:rPr>
      <w:rFonts w:eastAsia="Times New Roman"/>
    </w:rPr>
  </w:style>
  <w:style w:type="paragraph" w:styleId="Footer">
    <w:name w:val="footer"/>
    <w:basedOn w:val="Normal"/>
    <w:link w:val="FooterChar"/>
    <w:uiPriority w:val="99"/>
    <w:semiHidden/>
    <w:rsid w:val="006B7522"/>
    <w:pPr>
      <w:tabs>
        <w:tab w:val="center" w:pos="4680"/>
        <w:tab w:val="right" w:pos="9360"/>
      </w:tabs>
    </w:pPr>
  </w:style>
  <w:style w:type="character" w:customStyle="1" w:styleId="FooterChar">
    <w:name w:val="Footer Char"/>
    <w:basedOn w:val="DefaultParagraphFont"/>
    <w:link w:val="Footer"/>
    <w:uiPriority w:val="99"/>
    <w:semiHidden/>
    <w:rsid w:val="006B7522"/>
    <w:rPr>
      <w:rFonts w:eastAsia="Calibri"/>
      <w:sz w:val="20"/>
      <w:szCs w:val="20"/>
      <w:lang w:val="en-GB"/>
    </w:rPr>
  </w:style>
  <w:style w:type="numbering" w:customStyle="1" w:styleId="Judgments">
    <w:name w:val="Judgments"/>
    <w:uiPriority w:val="99"/>
    <w:rsid w:val="006B7522"/>
    <w:pPr>
      <w:numPr>
        <w:numId w:val="1"/>
      </w:numPr>
    </w:pPr>
  </w:style>
  <w:style w:type="paragraph" w:customStyle="1" w:styleId="JudgmentText">
    <w:name w:val="Judgment Text"/>
    <w:basedOn w:val="ListParagraph"/>
    <w:qFormat/>
    <w:rsid w:val="006B7522"/>
    <w:pPr>
      <w:widowControl/>
      <w:numPr>
        <w:numId w:val="2"/>
      </w:numPr>
      <w:autoSpaceDE/>
      <w:autoSpaceDN/>
      <w:adjustRightInd/>
      <w:spacing w:after="240" w:line="360" w:lineRule="auto"/>
      <w:contextualSpacing w:val="0"/>
      <w:jc w:val="both"/>
    </w:pPr>
    <w:rPr>
      <w:sz w:val="24"/>
      <w:szCs w:val="24"/>
    </w:rPr>
  </w:style>
  <w:style w:type="character" w:customStyle="1" w:styleId="apple-converted-space">
    <w:name w:val="apple-converted-space"/>
    <w:basedOn w:val="DefaultParagraphFont"/>
    <w:rsid w:val="00CE0679"/>
  </w:style>
  <w:style w:type="character" w:styleId="Strong">
    <w:name w:val="Strong"/>
    <w:basedOn w:val="DefaultParagraphFont"/>
    <w:uiPriority w:val="22"/>
    <w:qFormat/>
    <w:rsid w:val="00CE0679"/>
    <w:rPr>
      <w:b/>
      <w:bCs/>
    </w:rPr>
  </w:style>
  <w:style w:type="paragraph" w:styleId="BalloonText">
    <w:name w:val="Balloon Text"/>
    <w:basedOn w:val="Normal"/>
    <w:link w:val="BalloonTextChar"/>
    <w:uiPriority w:val="99"/>
    <w:semiHidden/>
    <w:unhideWhenUsed/>
    <w:rsid w:val="000E5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3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j.bastienne</dc:creator>
  <cp:keywords/>
  <dc:description/>
  <cp:lastModifiedBy>mohan burhan</cp:lastModifiedBy>
  <cp:revision>29</cp:revision>
  <cp:lastPrinted>2016-07-08T06:33:00Z</cp:lastPrinted>
  <dcterms:created xsi:type="dcterms:W3CDTF">2016-07-07T05:35:00Z</dcterms:created>
  <dcterms:modified xsi:type="dcterms:W3CDTF">2016-07-08T10:01:00Z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