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0A575F9E"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r w:rsidR="00DC22F5">
        <w:rPr>
          <w:rFonts w:ascii="Times New Roman" w:hAnsi="Times New Roman" w:cs="Times New Roman"/>
          <w:sz w:val="24"/>
          <w:szCs w:val="24"/>
        </w:rPr>
        <w:t>36  13 August 2021</w:t>
      </w:r>
    </w:p>
    <w:p w14:paraId="39C68942" w14:textId="65034A55"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DC22F5">
        <w:rPr>
          <w:rFonts w:ascii="Times New Roman" w:hAnsi="Times New Roman" w:cs="Times New Roman"/>
          <w:sz w:val="24"/>
          <w:szCs w:val="24"/>
        </w:rPr>
        <w:t>70</w:t>
      </w:r>
      <w:r w:rsidR="00F24182">
        <w:rPr>
          <w:rFonts w:ascii="Times New Roman" w:hAnsi="Times New Roman" w:cs="Times New Roman"/>
          <w:sz w:val="24"/>
          <w:szCs w:val="24"/>
        </w:rPr>
        <w:t>/20</w:t>
      </w:r>
      <w:r w:rsidR="003F751A">
        <w:rPr>
          <w:rFonts w:ascii="Times New Roman" w:hAnsi="Times New Roman" w:cs="Times New Roman"/>
          <w:sz w:val="24"/>
          <w:szCs w:val="24"/>
        </w:rPr>
        <w:t>18</w:t>
      </w:r>
      <w:r>
        <w:rPr>
          <w:rFonts w:ascii="Times New Roman" w:hAnsi="Times New Roman" w:cs="Times New Roman"/>
          <w:sz w:val="24"/>
          <w:szCs w:val="24"/>
        </w:rPr>
        <w:t xml:space="preserve"> </w:t>
      </w:r>
    </w:p>
    <w:p w14:paraId="0AD6B0FD" w14:textId="39805B5B"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w:t>
      </w:r>
      <w:r w:rsidR="003F751A">
        <w:rPr>
          <w:rFonts w:ascii="Times New Roman" w:hAnsi="Times New Roman" w:cs="Times New Roman"/>
          <w:sz w:val="24"/>
          <w:szCs w:val="24"/>
        </w:rPr>
        <w:t>S</w:t>
      </w:r>
      <w:r w:rsidR="000E15DC">
        <w:rPr>
          <w:rFonts w:ascii="Times New Roman" w:hAnsi="Times New Roman" w:cs="Times New Roman"/>
          <w:sz w:val="24"/>
          <w:szCs w:val="24"/>
        </w:rPr>
        <w:t xml:space="preserve"> MC 43/2018)</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108C7183" w14:textId="63A89A1F" w:rsidR="006A68E2" w:rsidRDefault="006A68E2" w:rsidP="00214DB4">
      <w:pPr>
        <w:spacing w:after="0" w:line="240" w:lineRule="auto"/>
        <w:ind w:left="5580"/>
        <w:rPr>
          <w:rFonts w:ascii="Times New Roman" w:hAnsi="Times New Roman" w:cs="Times New Roman"/>
          <w:sz w:val="24"/>
          <w:szCs w:val="24"/>
        </w:rPr>
      </w:pPr>
    </w:p>
    <w:p w14:paraId="33AB6D87" w14:textId="034848D4" w:rsidR="005D3054" w:rsidRPr="005D3054" w:rsidRDefault="00DC22F5" w:rsidP="00F24182">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Airtel (Seychelles) Ltd</w:t>
      </w:r>
      <w:r w:rsidR="003F751A">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r w:rsidR="00F24182">
        <w:rPr>
          <w:rFonts w:ascii="Times New Roman" w:hAnsi="Times New Roman" w:cs="Times New Roman"/>
          <w:b/>
          <w:sz w:val="24"/>
          <w:szCs w:val="24"/>
        </w:rPr>
        <w:tab/>
      </w:r>
      <w:r w:rsidR="00F24182">
        <w:rPr>
          <w:rFonts w:ascii="Times New Roman" w:hAnsi="Times New Roman" w:cs="Times New Roman"/>
          <w:b/>
          <w:sz w:val="24"/>
          <w:szCs w:val="24"/>
        </w:rPr>
        <w:tab/>
      </w:r>
      <w:r w:rsidR="00F24182">
        <w:rPr>
          <w:rFonts w:ascii="Times New Roman" w:hAnsi="Times New Roman" w:cs="Times New Roman"/>
          <w:b/>
          <w:sz w:val="24"/>
          <w:szCs w:val="24"/>
        </w:rPr>
        <w:tab/>
      </w:r>
      <w:r w:rsidR="00F24182">
        <w:rPr>
          <w:rFonts w:ascii="Times New Roman" w:hAnsi="Times New Roman" w:cs="Times New Roman"/>
          <w:b/>
          <w:sz w:val="24"/>
          <w:szCs w:val="24"/>
        </w:rPr>
        <w:tab/>
      </w:r>
      <w:r w:rsidR="00F24182" w:rsidRPr="005D3054">
        <w:rPr>
          <w:rFonts w:ascii="Times New Roman" w:hAnsi="Times New Roman" w:cs="Times New Roman"/>
          <w:b/>
          <w:sz w:val="24"/>
          <w:szCs w:val="24"/>
        </w:rPr>
        <w:t>Appellant</w:t>
      </w:r>
      <w:r w:rsidR="00F24182" w:rsidRPr="005D3054">
        <w:rPr>
          <w:rFonts w:ascii="Times New Roman" w:hAnsi="Times New Roman" w:cs="Times New Roman"/>
          <w:sz w:val="24"/>
          <w:szCs w:val="24"/>
        </w:rPr>
        <w:tab/>
      </w:r>
    </w:p>
    <w:p w14:paraId="398C6A6D" w14:textId="50B34275" w:rsidR="005D3054" w:rsidRPr="005D3054" w:rsidRDefault="005D3054" w:rsidP="005D3054">
      <w:pPr>
        <w:pStyle w:val="NoSpacing"/>
        <w:rPr>
          <w:rFonts w:ascii="Times New Roman" w:hAnsi="Times New Roman" w:cs="Times New Roman"/>
          <w:sz w:val="24"/>
          <w:szCs w:val="24"/>
        </w:rPr>
      </w:pPr>
      <w:r w:rsidRPr="005D3054">
        <w:rPr>
          <w:rFonts w:ascii="Times New Roman" w:hAnsi="Times New Roman" w:cs="Times New Roman"/>
          <w:i/>
          <w:sz w:val="24"/>
          <w:szCs w:val="24"/>
        </w:rPr>
        <w:t xml:space="preserve">(rep. by Mr. </w:t>
      </w:r>
      <w:r w:rsidR="00DC22F5">
        <w:rPr>
          <w:rFonts w:ascii="Times New Roman" w:hAnsi="Times New Roman" w:cs="Times New Roman"/>
          <w:i/>
          <w:sz w:val="24"/>
          <w:szCs w:val="24"/>
        </w:rPr>
        <w:t>Kieran Shah</w:t>
      </w:r>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7D5C18">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2340C7BE" w14:textId="461E7DDE" w:rsidR="00DC22F5" w:rsidRDefault="00DC22F5" w:rsidP="00F24182">
      <w:pPr>
        <w:pStyle w:val="Partynames"/>
        <w:tabs>
          <w:tab w:val="clear" w:pos="5580"/>
          <w:tab w:val="left" w:pos="5760"/>
        </w:tabs>
      </w:pPr>
      <w:r>
        <w:t>Review Panel of the National Tender Board</w:t>
      </w:r>
      <w:r>
        <w:tab/>
        <w:t>1</w:t>
      </w:r>
      <w:r w:rsidRPr="00DC22F5">
        <w:rPr>
          <w:vertAlign w:val="superscript"/>
        </w:rPr>
        <w:t>st</w:t>
      </w:r>
      <w:r>
        <w:t xml:space="preserve"> Respondent</w:t>
      </w:r>
    </w:p>
    <w:p w14:paraId="3F297ED3" w14:textId="481B6EBC" w:rsidR="00F24182" w:rsidRPr="006F5ABA" w:rsidRDefault="00DC22F5" w:rsidP="00F24182">
      <w:pPr>
        <w:pStyle w:val="Partynames"/>
        <w:tabs>
          <w:tab w:val="clear" w:pos="5580"/>
          <w:tab w:val="left" w:pos="5760"/>
        </w:tabs>
      </w:pPr>
      <w:r>
        <w:t>The Attorney General</w:t>
      </w:r>
      <w:r w:rsidR="00F24182">
        <w:t xml:space="preserve"> </w:t>
      </w:r>
      <w:r w:rsidR="00F24182">
        <w:tab/>
      </w:r>
      <w:r>
        <w:t>2</w:t>
      </w:r>
      <w:r w:rsidRPr="00DC22F5">
        <w:rPr>
          <w:vertAlign w:val="superscript"/>
        </w:rPr>
        <w:t>nd</w:t>
      </w:r>
      <w:r>
        <w:t xml:space="preserve"> Respondent</w:t>
      </w:r>
    </w:p>
    <w:p w14:paraId="35F33580" w14:textId="5A85B25E"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by </w:t>
      </w:r>
      <w:r>
        <w:rPr>
          <w:rFonts w:ascii="Times New Roman" w:hAnsi="Times New Roman" w:cs="Times New Roman"/>
          <w:i/>
          <w:sz w:val="24"/>
          <w:szCs w:val="24"/>
        </w:rPr>
        <w:t xml:space="preserve">Mr. </w:t>
      </w:r>
      <w:r w:rsidR="00DC22F5">
        <w:rPr>
          <w:rFonts w:ascii="Times New Roman" w:hAnsi="Times New Roman" w:cs="Times New Roman"/>
          <w:i/>
          <w:sz w:val="24"/>
          <w:szCs w:val="24"/>
        </w:rPr>
        <w:t>Ananth Subramaniam</w:t>
      </w:r>
      <w:r w:rsidRPr="004A2599">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7C9EB566" w14:textId="7F5E034D" w:rsidR="000A0FCF" w:rsidRPr="0017636C" w:rsidRDefault="00405958" w:rsidP="00F24182">
      <w:pPr>
        <w:pStyle w:val="NoSpacing"/>
        <w:tabs>
          <w:tab w:val="left" w:pos="1890"/>
        </w:tabs>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Neutral </w:t>
      </w:r>
      <w:r w:rsidRPr="0017636C">
        <w:rPr>
          <w:rFonts w:ascii="Times New Roman" w:hAnsi="Times New Roman" w:cs="Times New Roman"/>
          <w:b/>
          <w:sz w:val="24"/>
          <w:szCs w:val="24"/>
        </w:rPr>
        <w:t>Citation:</w:t>
      </w:r>
      <w:r w:rsidR="004A2599" w:rsidRPr="0017636C">
        <w:rPr>
          <w:rFonts w:ascii="Times New Roman" w:hAnsi="Times New Roman" w:cs="Times New Roman"/>
          <w:sz w:val="24"/>
          <w:szCs w:val="24"/>
        </w:rPr>
        <w:t xml:space="preserve"> </w:t>
      </w:r>
      <w:r w:rsidR="004A2599" w:rsidRPr="0017636C">
        <w:rPr>
          <w:rFonts w:ascii="Times New Roman" w:hAnsi="Times New Roman" w:cs="Times New Roman"/>
          <w:sz w:val="24"/>
          <w:szCs w:val="24"/>
        </w:rPr>
        <w:tab/>
      </w:r>
      <w:r w:rsidR="00DC22F5" w:rsidRPr="0017636C">
        <w:rPr>
          <w:rFonts w:ascii="Times New Roman" w:hAnsi="Times New Roman" w:cs="Times New Roman"/>
          <w:i/>
          <w:sz w:val="24"/>
          <w:szCs w:val="24"/>
        </w:rPr>
        <w:t xml:space="preserve">Airtel (Seychelles) Ltd </w:t>
      </w:r>
      <w:r w:rsidR="00F24182" w:rsidRPr="0017636C">
        <w:rPr>
          <w:rFonts w:ascii="Times New Roman" w:hAnsi="Times New Roman" w:cs="Times New Roman"/>
          <w:i/>
          <w:sz w:val="24"/>
          <w:szCs w:val="24"/>
        </w:rPr>
        <w:t xml:space="preserve">v </w:t>
      </w:r>
      <w:r w:rsidR="00DC22F5" w:rsidRPr="0017636C">
        <w:rPr>
          <w:rFonts w:ascii="Times New Roman" w:hAnsi="Times New Roman" w:cs="Times New Roman"/>
          <w:i/>
          <w:sz w:val="24"/>
          <w:szCs w:val="24"/>
        </w:rPr>
        <w:t xml:space="preserve">Review Panel of the National Tender Board &amp; Anor </w:t>
      </w:r>
      <w:r w:rsidR="00DC22F5" w:rsidRPr="0017636C">
        <w:rPr>
          <w:rFonts w:ascii="Times New Roman" w:hAnsi="Times New Roman" w:cs="Times New Roman"/>
          <w:sz w:val="24"/>
          <w:szCs w:val="24"/>
        </w:rPr>
        <w:t>(SCA 70/2018)</w:t>
      </w:r>
      <w:r w:rsidR="003F751A" w:rsidRPr="0017636C">
        <w:rPr>
          <w:rFonts w:ascii="Times New Roman" w:hAnsi="Times New Roman" w:cs="Times New Roman"/>
          <w:sz w:val="24"/>
          <w:szCs w:val="24"/>
        </w:rPr>
        <w:t xml:space="preserve"> </w:t>
      </w:r>
      <w:r w:rsidR="000A0FCF" w:rsidRPr="0017636C">
        <w:rPr>
          <w:rFonts w:ascii="Times New Roman" w:hAnsi="Times New Roman" w:cs="Times New Roman"/>
          <w:sz w:val="24"/>
          <w:szCs w:val="24"/>
        </w:rPr>
        <w:t xml:space="preserve">[2021] SCCA </w:t>
      </w:r>
      <w:r w:rsidR="00DC22F5" w:rsidRPr="0017636C">
        <w:rPr>
          <w:rFonts w:ascii="Times New Roman" w:hAnsi="Times New Roman" w:cs="Times New Roman"/>
          <w:sz w:val="24"/>
          <w:szCs w:val="24"/>
        </w:rPr>
        <w:t>36 (Arising in CS</w:t>
      </w:r>
      <w:r w:rsidR="000E15DC" w:rsidRPr="0017636C">
        <w:rPr>
          <w:rFonts w:ascii="Times New Roman" w:hAnsi="Times New Roman" w:cs="Times New Roman"/>
          <w:sz w:val="24"/>
          <w:szCs w:val="24"/>
        </w:rPr>
        <w:t xml:space="preserve"> MC 43/2018)</w:t>
      </w:r>
      <w:r w:rsidR="000A0FCF" w:rsidRPr="0017636C">
        <w:rPr>
          <w:rFonts w:ascii="Times New Roman" w:hAnsi="Times New Roman" w:cs="Times New Roman"/>
          <w:sz w:val="24"/>
          <w:szCs w:val="24"/>
        </w:rPr>
        <w:t xml:space="preserve"> </w:t>
      </w:r>
    </w:p>
    <w:p w14:paraId="6FA1FDAB" w14:textId="5BA42D18" w:rsidR="000A0FCF" w:rsidRPr="0017636C" w:rsidRDefault="00DC22F5" w:rsidP="000A0FCF">
      <w:pPr>
        <w:pStyle w:val="NoSpacing"/>
        <w:ind w:left="1890"/>
        <w:rPr>
          <w:rFonts w:ascii="Times New Roman" w:hAnsi="Times New Roman" w:cs="Times New Roman"/>
          <w:sz w:val="24"/>
          <w:szCs w:val="24"/>
        </w:rPr>
      </w:pPr>
      <w:r w:rsidRPr="0017636C">
        <w:rPr>
          <w:rFonts w:ascii="Times New Roman" w:hAnsi="Times New Roman" w:cs="Times New Roman"/>
          <w:sz w:val="24"/>
          <w:szCs w:val="24"/>
        </w:rPr>
        <w:t>13 August</w:t>
      </w:r>
      <w:r w:rsidR="000A0FCF" w:rsidRPr="0017636C">
        <w:rPr>
          <w:rFonts w:ascii="Times New Roman" w:hAnsi="Times New Roman" w:cs="Times New Roman"/>
          <w:sz w:val="24"/>
          <w:szCs w:val="24"/>
        </w:rPr>
        <w:t xml:space="preserve"> 2021</w:t>
      </w:r>
    </w:p>
    <w:p w14:paraId="2CBC2A12" w14:textId="4F621341" w:rsidR="002E2AE3" w:rsidRPr="0017636C" w:rsidRDefault="009F125D" w:rsidP="00214DB4">
      <w:pPr>
        <w:spacing w:after="0" w:line="240" w:lineRule="auto"/>
        <w:ind w:left="1890" w:hanging="1890"/>
        <w:rPr>
          <w:rFonts w:ascii="Times New Roman" w:hAnsi="Times New Roman" w:cs="Times New Roman"/>
          <w:sz w:val="24"/>
          <w:szCs w:val="24"/>
        </w:rPr>
      </w:pPr>
      <w:r w:rsidRPr="0017636C">
        <w:rPr>
          <w:rFonts w:ascii="Times New Roman" w:hAnsi="Times New Roman" w:cs="Times New Roman"/>
          <w:b/>
          <w:sz w:val="24"/>
          <w:szCs w:val="24"/>
        </w:rPr>
        <w:t>Before</w:t>
      </w:r>
      <w:r w:rsidR="00405958" w:rsidRPr="0017636C">
        <w:rPr>
          <w:rFonts w:ascii="Times New Roman" w:hAnsi="Times New Roman" w:cs="Times New Roman"/>
          <w:b/>
          <w:sz w:val="24"/>
          <w:szCs w:val="24"/>
        </w:rPr>
        <w:t xml:space="preserve">: </w:t>
      </w:r>
      <w:r w:rsidR="004A2599" w:rsidRPr="0017636C">
        <w:rPr>
          <w:rFonts w:ascii="Times New Roman" w:hAnsi="Times New Roman" w:cs="Times New Roman"/>
          <w:b/>
          <w:sz w:val="24"/>
          <w:szCs w:val="24"/>
        </w:rPr>
        <w:tab/>
      </w:r>
      <w:r w:rsidR="00DC22F5" w:rsidRPr="0017636C">
        <w:rPr>
          <w:rFonts w:ascii="Times New Roman" w:hAnsi="Times New Roman" w:cs="Times New Roman"/>
          <w:sz w:val="24"/>
          <w:szCs w:val="24"/>
        </w:rPr>
        <w:t>Twomey JA, Tibatemwa-Ekirikubinza JA, Dingake JA</w:t>
      </w:r>
    </w:p>
    <w:p w14:paraId="0B2CDE4B" w14:textId="0F9299F3" w:rsidR="00F24182" w:rsidRPr="0017636C" w:rsidRDefault="00346D7F" w:rsidP="007D5C18">
      <w:pPr>
        <w:spacing w:after="0" w:line="240" w:lineRule="auto"/>
        <w:ind w:left="1890" w:hanging="1890"/>
        <w:jc w:val="both"/>
        <w:rPr>
          <w:rFonts w:ascii="Times New Roman" w:hAnsi="Times New Roman" w:cs="Times New Roman"/>
          <w:b/>
          <w:sz w:val="24"/>
          <w:szCs w:val="24"/>
        </w:rPr>
      </w:pPr>
      <w:r w:rsidRPr="0017636C">
        <w:rPr>
          <w:rFonts w:ascii="Times New Roman" w:hAnsi="Times New Roman" w:cs="Times New Roman"/>
          <w:b/>
          <w:sz w:val="24"/>
          <w:szCs w:val="24"/>
        </w:rPr>
        <w:t>Summary:</w:t>
      </w:r>
      <w:r w:rsidR="00625321" w:rsidRPr="0017636C">
        <w:rPr>
          <w:rFonts w:ascii="Times New Roman" w:hAnsi="Times New Roman" w:cs="Times New Roman"/>
          <w:b/>
          <w:sz w:val="24"/>
          <w:szCs w:val="24"/>
        </w:rPr>
        <w:t xml:space="preserve"> </w:t>
      </w:r>
      <w:r w:rsidR="000E15DC" w:rsidRPr="0017636C">
        <w:rPr>
          <w:rFonts w:ascii="Times New Roman" w:hAnsi="Times New Roman" w:cs="Times New Roman"/>
          <w:b/>
          <w:sz w:val="24"/>
          <w:szCs w:val="24"/>
        </w:rPr>
        <w:tab/>
      </w:r>
      <w:r w:rsidR="00625321" w:rsidRPr="0017636C">
        <w:rPr>
          <w:rFonts w:ascii="Times New Roman" w:hAnsi="Times New Roman" w:cs="Times New Roman"/>
          <w:sz w:val="24"/>
          <w:szCs w:val="24"/>
        </w:rPr>
        <w:t>Application for leave to bring judicial review proceedings – the test whether applicant has sufficient interest and whether matter is arguable – held matter arguable</w:t>
      </w:r>
      <w:r w:rsidR="00BA1EA5" w:rsidRPr="0017636C">
        <w:rPr>
          <w:rFonts w:ascii="Times New Roman" w:hAnsi="Times New Roman" w:cs="Times New Roman"/>
          <w:sz w:val="24"/>
          <w:szCs w:val="24"/>
        </w:rPr>
        <w:t>.</w:t>
      </w:r>
    </w:p>
    <w:p w14:paraId="1A9C66B6" w14:textId="63FD25E4" w:rsidR="00344425" w:rsidRPr="0017636C"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17636C">
        <w:rPr>
          <w:rFonts w:ascii="Times New Roman" w:hAnsi="Times New Roman" w:cs="Times New Roman"/>
          <w:b/>
          <w:sz w:val="24"/>
          <w:szCs w:val="24"/>
        </w:rPr>
        <w:t xml:space="preserve">Heard: </w:t>
      </w:r>
      <w:r w:rsidR="005B12AA" w:rsidRPr="0017636C">
        <w:rPr>
          <w:rFonts w:ascii="Times New Roman" w:hAnsi="Times New Roman" w:cs="Times New Roman"/>
          <w:sz w:val="24"/>
          <w:szCs w:val="24"/>
        </w:rPr>
        <w:tab/>
      </w:r>
      <w:r w:rsidR="005B12AA" w:rsidRPr="0017636C">
        <w:rPr>
          <w:rFonts w:ascii="Times New Roman" w:hAnsi="Times New Roman" w:cs="Times New Roman"/>
          <w:sz w:val="24"/>
          <w:szCs w:val="24"/>
        </w:rPr>
        <w:tab/>
      </w:r>
      <w:r w:rsidR="00DC22F5" w:rsidRPr="0017636C">
        <w:rPr>
          <w:rFonts w:ascii="Times New Roman" w:hAnsi="Times New Roman" w:cs="Times New Roman"/>
          <w:sz w:val="24"/>
          <w:szCs w:val="24"/>
        </w:rPr>
        <w:t>4 August</w:t>
      </w:r>
      <w:r w:rsidR="000A0FCF" w:rsidRPr="0017636C">
        <w:rPr>
          <w:rFonts w:ascii="Times New Roman" w:hAnsi="Times New Roman" w:cs="Times New Roman"/>
          <w:sz w:val="24"/>
          <w:szCs w:val="24"/>
        </w:rPr>
        <w:t xml:space="preserve"> </w:t>
      </w:r>
      <w:r w:rsidR="009F73C2" w:rsidRPr="0017636C">
        <w:rPr>
          <w:rFonts w:ascii="Times New Roman" w:hAnsi="Times New Roman" w:cs="Times New Roman"/>
          <w:sz w:val="24"/>
          <w:szCs w:val="24"/>
        </w:rPr>
        <w:t>2021</w:t>
      </w:r>
    </w:p>
    <w:p w14:paraId="00356EF9" w14:textId="02E9D3CC" w:rsidR="000A0FCF" w:rsidRPr="0017636C" w:rsidRDefault="00344425" w:rsidP="000A0FCF">
      <w:pPr>
        <w:spacing w:after="0" w:line="240" w:lineRule="auto"/>
        <w:ind w:left="1890" w:hanging="1890"/>
        <w:rPr>
          <w:rFonts w:ascii="Times New Roman" w:hAnsi="Times New Roman" w:cs="Times New Roman"/>
          <w:sz w:val="24"/>
          <w:szCs w:val="24"/>
        </w:rPr>
      </w:pPr>
      <w:r w:rsidRPr="0017636C">
        <w:rPr>
          <w:rFonts w:ascii="Times New Roman" w:hAnsi="Times New Roman" w:cs="Times New Roman"/>
          <w:b/>
          <w:sz w:val="24"/>
          <w:szCs w:val="24"/>
        </w:rPr>
        <w:t>Delivered:</w:t>
      </w:r>
      <w:r w:rsidR="004A2599" w:rsidRPr="0017636C">
        <w:rPr>
          <w:rFonts w:ascii="Times New Roman" w:hAnsi="Times New Roman" w:cs="Times New Roman"/>
          <w:b/>
          <w:sz w:val="24"/>
          <w:szCs w:val="24"/>
        </w:rPr>
        <w:tab/>
      </w:r>
      <w:r w:rsidR="00DC22F5" w:rsidRPr="0017636C">
        <w:rPr>
          <w:rFonts w:ascii="Times New Roman" w:hAnsi="Times New Roman" w:cs="Times New Roman"/>
          <w:sz w:val="24"/>
          <w:szCs w:val="24"/>
        </w:rPr>
        <w:t>13 August</w:t>
      </w:r>
      <w:r w:rsidR="000A0FCF" w:rsidRPr="0017636C">
        <w:rPr>
          <w:rFonts w:ascii="Times New Roman" w:hAnsi="Times New Roman" w:cs="Times New Roman"/>
          <w:sz w:val="24"/>
          <w:szCs w:val="24"/>
        </w:rPr>
        <w:t xml:space="preserve"> 2021</w:t>
      </w:r>
    </w:p>
    <w:p w14:paraId="64261FA4" w14:textId="77777777" w:rsidR="000A0FCF" w:rsidRDefault="000A0FCF" w:rsidP="000A0FCF">
      <w:pPr>
        <w:spacing w:after="0" w:line="240" w:lineRule="auto"/>
        <w:ind w:left="1890" w:hanging="1890"/>
        <w:rPr>
          <w:rFonts w:ascii="Times New Roman" w:hAnsi="Times New Roman" w:cs="Times New Roman"/>
          <w:sz w:val="24"/>
          <w:szCs w:val="24"/>
        </w:rPr>
      </w:pPr>
    </w:p>
    <w:p w14:paraId="2DCDD963" w14:textId="50CD6E87" w:rsidR="000D6415" w:rsidRPr="00BA1EA5" w:rsidRDefault="006F5ABA" w:rsidP="00BA1EA5">
      <w:pPr>
        <w:tabs>
          <w:tab w:val="left" w:pos="2892"/>
        </w:tabs>
        <w:spacing w:after="0" w:line="276" w:lineRule="auto"/>
        <w:jc w:val="center"/>
        <w:rPr>
          <w:rFonts w:ascii="Times New Roman" w:hAnsi="Times New Roman" w:cs="Times New Roman"/>
          <w:b/>
          <w:sz w:val="24"/>
          <w:szCs w:val="24"/>
        </w:rPr>
      </w:pPr>
      <w:r w:rsidRPr="00BA1EA5">
        <w:rPr>
          <w:rFonts w:ascii="Times New Roman" w:hAnsi="Times New Roman" w:cs="Times New Roman"/>
          <w:b/>
          <w:sz w:val="24"/>
          <w:szCs w:val="24"/>
        </w:rPr>
        <w:t>ORDER</w:t>
      </w:r>
    </w:p>
    <w:p w14:paraId="75AB889B" w14:textId="0BE9CA02" w:rsidR="00A91113" w:rsidRDefault="00A91113" w:rsidP="00A91113">
      <w:pPr>
        <w:pBdr>
          <w:top w:val="single" w:sz="4" w:space="12" w:color="auto"/>
          <w:bottom w:val="single" w:sz="4" w:space="0" w:color="auto"/>
        </w:pBdr>
        <w:tabs>
          <w:tab w:val="left" w:pos="2892"/>
        </w:tabs>
        <w:spacing w:after="0" w:line="276" w:lineRule="auto"/>
        <w:ind w:left="90"/>
        <w:rPr>
          <w:rFonts w:ascii="Times New Roman" w:hAnsi="Times New Roman" w:cs="Times New Roman"/>
          <w:sz w:val="24"/>
          <w:szCs w:val="24"/>
        </w:rPr>
      </w:pPr>
      <w:r>
        <w:rPr>
          <w:rFonts w:ascii="Times New Roman" w:hAnsi="Times New Roman" w:cs="Times New Roman"/>
          <w:sz w:val="24"/>
          <w:szCs w:val="24"/>
        </w:rPr>
        <w:t xml:space="preserve">1. </w:t>
      </w:r>
      <w:r w:rsidR="00625321" w:rsidRPr="00BA1EA5">
        <w:rPr>
          <w:rFonts w:ascii="Times New Roman" w:hAnsi="Times New Roman" w:cs="Times New Roman"/>
          <w:sz w:val="24"/>
          <w:szCs w:val="24"/>
        </w:rPr>
        <w:t xml:space="preserve">The Appeal is allowed </w:t>
      </w:r>
      <w:r w:rsidR="00BA1EA5" w:rsidRPr="00BA1EA5">
        <w:rPr>
          <w:rFonts w:ascii="Times New Roman" w:hAnsi="Times New Roman" w:cs="Times New Roman"/>
          <w:sz w:val="24"/>
          <w:szCs w:val="24"/>
        </w:rPr>
        <w:t>–</w:t>
      </w:r>
      <w:bookmarkStart w:id="0" w:name="_GoBack"/>
      <w:bookmarkEnd w:id="0"/>
    </w:p>
    <w:p w14:paraId="1987DDD4" w14:textId="3B0CF147" w:rsidR="00A91113" w:rsidRDefault="00A91113" w:rsidP="00A91113">
      <w:pPr>
        <w:pBdr>
          <w:top w:val="single" w:sz="4" w:space="12" w:color="auto"/>
          <w:bottom w:val="single" w:sz="4" w:space="0" w:color="auto"/>
        </w:pBdr>
        <w:tabs>
          <w:tab w:val="left" w:pos="990"/>
          <w:tab w:val="left" w:pos="2892"/>
        </w:tabs>
        <w:spacing w:after="0" w:line="276" w:lineRule="auto"/>
        <w:ind w:left="90"/>
        <w:rPr>
          <w:rFonts w:ascii="Times New Roman" w:hAnsi="Times New Roman" w:cs="Times New Roman"/>
          <w:sz w:val="24"/>
          <w:szCs w:val="24"/>
        </w:rPr>
      </w:pPr>
      <w:r>
        <w:rPr>
          <w:rFonts w:ascii="Times New Roman" w:hAnsi="Times New Roman" w:cs="Times New Roman"/>
          <w:sz w:val="24"/>
          <w:szCs w:val="24"/>
        </w:rPr>
        <w:t xml:space="preserve">        (a) </w:t>
      </w:r>
      <w:r>
        <w:rPr>
          <w:rFonts w:ascii="Times New Roman" w:hAnsi="Times New Roman" w:cs="Times New Roman"/>
          <w:sz w:val="24"/>
          <w:szCs w:val="24"/>
        </w:rPr>
        <w:tab/>
      </w:r>
      <w:r w:rsidR="00BA1EA5" w:rsidRPr="00BA1EA5">
        <w:rPr>
          <w:rFonts w:ascii="Times New Roman" w:hAnsi="Times New Roman" w:cs="Times New Roman"/>
          <w:sz w:val="24"/>
          <w:szCs w:val="24"/>
        </w:rPr>
        <w:t>Leave to proceed with</w:t>
      </w:r>
      <w:r w:rsidR="00BA1EA5" w:rsidRPr="00625321">
        <w:rPr>
          <w:rFonts w:ascii="Times New Roman" w:hAnsi="Times New Roman" w:cs="Times New Roman"/>
          <w:sz w:val="24"/>
          <w:szCs w:val="24"/>
        </w:rPr>
        <w:t xml:space="preserve"> judicial review on the merits is </w:t>
      </w:r>
      <w:r>
        <w:rPr>
          <w:rFonts w:ascii="Times New Roman" w:hAnsi="Times New Roman" w:cs="Times New Roman"/>
          <w:sz w:val="24"/>
          <w:szCs w:val="24"/>
        </w:rPr>
        <w:t>granted.</w:t>
      </w:r>
    </w:p>
    <w:p w14:paraId="25BE3FB7" w14:textId="27AE2F10" w:rsidR="00BA1EA5" w:rsidRDefault="00A91113" w:rsidP="00A91113">
      <w:pPr>
        <w:pBdr>
          <w:top w:val="single" w:sz="4" w:space="12" w:color="auto"/>
          <w:bottom w:val="single" w:sz="4" w:space="0" w:color="auto"/>
        </w:pBdr>
        <w:tabs>
          <w:tab w:val="left" w:pos="900"/>
        </w:tabs>
        <w:spacing w:after="0" w:line="276" w:lineRule="auto"/>
        <w:ind w:left="90" w:firstLine="45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BA1EA5" w:rsidRPr="00BA1EA5">
        <w:rPr>
          <w:rFonts w:ascii="Times New Roman" w:hAnsi="Times New Roman" w:cs="Times New Roman"/>
          <w:sz w:val="24"/>
          <w:szCs w:val="24"/>
        </w:rPr>
        <w:t xml:space="preserve"> </w:t>
      </w:r>
      <w:r w:rsidR="00BA1EA5" w:rsidRPr="00625321">
        <w:rPr>
          <w:rFonts w:ascii="Times New Roman" w:hAnsi="Times New Roman" w:cs="Times New Roman"/>
          <w:sz w:val="24"/>
          <w:szCs w:val="24"/>
        </w:rPr>
        <w:t>This matter is remitted to the Supreme Court to hear the case on the merits</w:t>
      </w:r>
      <w:r>
        <w:rPr>
          <w:rFonts w:ascii="Times New Roman" w:hAnsi="Times New Roman" w:cs="Times New Roman"/>
          <w:sz w:val="24"/>
          <w:szCs w:val="24"/>
        </w:rPr>
        <w:t>.</w:t>
      </w:r>
    </w:p>
    <w:p w14:paraId="60504025" w14:textId="2F56290B" w:rsidR="00A91113" w:rsidRDefault="00A91113" w:rsidP="00A91113">
      <w:pPr>
        <w:pBdr>
          <w:top w:val="single" w:sz="4" w:space="12" w:color="auto"/>
          <w:bottom w:val="single" w:sz="4" w:space="0" w:color="auto"/>
        </w:pBdr>
        <w:tabs>
          <w:tab w:val="left" w:pos="990"/>
        </w:tabs>
        <w:spacing w:after="0" w:line="276" w:lineRule="auto"/>
        <w:ind w:left="90" w:firstLine="45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There is no order as to costs.</w:t>
      </w:r>
    </w:p>
    <w:p w14:paraId="0F123F0F" w14:textId="17080510" w:rsidR="0075634D" w:rsidRDefault="0075634D" w:rsidP="006F5ABA">
      <w:pPr>
        <w:jc w:val="center"/>
        <w:rPr>
          <w:rFonts w:ascii="Times New Roman" w:hAnsi="Times New Roman" w:cs="Times New Roman"/>
          <w:b/>
          <w:sz w:val="24"/>
          <w:szCs w:val="24"/>
        </w:rPr>
      </w:pPr>
    </w:p>
    <w:p w14:paraId="151B6112" w14:textId="7A4047DF"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6A15F90C" w14:textId="77777777" w:rsidR="00B27885" w:rsidRDefault="00B27885" w:rsidP="003F751A">
      <w:pPr>
        <w:jc w:val="both"/>
        <w:rPr>
          <w:rFonts w:ascii="Times New Roman" w:hAnsi="Times New Roman" w:cs="Times New Roman"/>
          <w:b/>
          <w:sz w:val="24"/>
          <w:szCs w:val="24"/>
        </w:rPr>
      </w:pPr>
    </w:p>
    <w:p w14:paraId="487D3082" w14:textId="77777777" w:rsidR="00B27885" w:rsidRDefault="00B27885" w:rsidP="003F751A">
      <w:pPr>
        <w:jc w:val="both"/>
        <w:rPr>
          <w:rFonts w:ascii="Times New Roman" w:hAnsi="Times New Roman" w:cs="Times New Roman"/>
          <w:b/>
          <w:sz w:val="24"/>
          <w:szCs w:val="24"/>
        </w:rPr>
      </w:pPr>
    </w:p>
    <w:p w14:paraId="17BD4422" w14:textId="7D5FD4E8" w:rsidR="003F751A" w:rsidRPr="0017636C" w:rsidRDefault="0017636C" w:rsidP="003F751A">
      <w:pPr>
        <w:jc w:val="both"/>
        <w:rPr>
          <w:rFonts w:ascii="Times New Roman" w:hAnsi="Times New Roman" w:cs="Times New Roman"/>
          <w:b/>
          <w:sz w:val="24"/>
          <w:szCs w:val="24"/>
        </w:rPr>
      </w:pPr>
      <w:r w:rsidRPr="0017636C">
        <w:rPr>
          <w:rFonts w:ascii="Times New Roman" w:hAnsi="Times New Roman" w:cs="Times New Roman"/>
          <w:b/>
          <w:sz w:val="24"/>
          <w:szCs w:val="24"/>
        </w:rPr>
        <w:lastRenderedPageBreak/>
        <w:t xml:space="preserve">DR. O. </w:t>
      </w:r>
      <w:r w:rsidR="003F751A" w:rsidRPr="0017636C">
        <w:rPr>
          <w:rFonts w:ascii="Times New Roman" w:hAnsi="Times New Roman" w:cs="Times New Roman"/>
          <w:b/>
          <w:sz w:val="24"/>
          <w:szCs w:val="24"/>
        </w:rPr>
        <w:t>DINGAKE</w:t>
      </w:r>
      <w:r w:rsidRPr="0017636C">
        <w:rPr>
          <w:rFonts w:ascii="Times New Roman" w:hAnsi="Times New Roman" w:cs="Times New Roman"/>
          <w:b/>
          <w:sz w:val="24"/>
          <w:szCs w:val="24"/>
        </w:rPr>
        <w:t>,</w:t>
      </w:r>
      <w:r w:rsidR="003F751A" w:rsidRPr="0017636C">
        <w:rPr>
          <w:rFonts w:ascii="Times New Roman" w:hAnsi="Times New Roman" w:cs="Times New Roman"/>
          <w:b/>
          <w:sz w:val="24"/>
          <w:szCs w:val="24"/>
        </w:rPr>
        <w:t xml:space="preserve"> JA </w:t>
      </w:r>
    </w:p>
    <w:p w14:paraId="7FFFBF49" w14:textId="029C1C6B" w:rsidR="000E15DC" w:rsidRDefault="00684570" w:rsidP="00684570">
      <w:pPr>
        <w:tabs>
          <w:tab w:val="left" w:pos="1065"/>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5B2D0995" w14:textId="4C5BFCD8" w:rsidR="00DC22F5" w:rsidRPr="000E15DC" w:rsidRDefault="00DC22F5" w:rsidP="00DC22F5">
      <w:pPr>
        <w:spacing w:line="360" w:lineRule="auto"/>
        <w:jc w:val="both"/>
        <w:rPr>
          <w:rFonts w:ascii="Times New Roman" w:hAnsi="Times New Roman" w:cs="Times New Roman"/>
          <w:b/>
          <w:sz w:val="24"/>
          <w:szCs w:val="24"/>
        </w:rPr>
      </w:pPr>
      <w:r w:rsidRPr="000E15DC">
        <w:rPr>
          <w:rFonts w:ascii="Times New Roman" w:hAnsi="Times New Roman" w:cs="Times New Roman"/>
          <w:b/>
          <w:sz w:val="24"/>
          <w:szCs w:val="24"/>
        </w:rPr>
        <w:t>INTRODUCTION</w:t>
      </w:r>
    </w:p>
    <w:p w14:paraId="711BFED8" w14:textId="22F75DB5" w:rsidR="00625321" w:rsidRDefault="00DC22F5" w:rsidP="00222CF9">
      <w:pPr>
        <w:pStyle w:val="ListParagraph"/>
        <w:numPr>
          <w:ilvl w:val="0"/>
          <w:numId w:val="28"/>
        </w:numPr>
        <w:spacing w:after="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t>This is</w:t>
      </w:r>
      <w:r w:rsidR="00625321">
        <w:rPr>
          <w:rFonts w:ascii="Times New Roman" w:hAnsi="Times New Roman" w:cs="Times New Roman"/>
          <w:sz w:val="24"/>
          <w:szCs w:val="24"/>
        </w:rPr>
        <w:t xml:space="preserve"> an appeal against the </w:t>
      </w:r>
      <w:r w:rsidRPr="000E15DC">
        <w:rPr>
          <w:rFonts w:ascii="Times New Roman" w:hAnsi="Times New Roman" w:cs="Times New Roman"/>
          <w:sz w:val="24"/>
          <w:szCs w:val="24"/>
        </w:rPr>
        <w:t>Supreme Court Ruling dismissing a petition by the Appellant for the review of a decision made by the Review Pane</w:t>
      </w:r>
      <w:r w:rsidR="00625321">
        <w:rPr>
          <w:rFonts w:ascii="Times New Roman" w:hAnsi="Times New Roman" w:cs="Times New Roman"/>
          <w:sz w:val="24"/>
          <w:szCs w:val="24"/>
        </w:rPr>
        <w:t>l of the National Tender Board.</w:t>
      </w:r>
    </w:p>
    <w:p w14:paraId="23E8C22A" w14:textId="77777777" w:rsidR="00B27885" w:rsidRPr="00222CF9" w:rsidRDefault="00B27885" w:rsidP="00222CF9">
      <w:pPr>
        <w:spacing w:after="120" w:line="360" w:lineRule="auto"/>
        <w:jc w:val="both"/>
        <w:rPr>
          <w:rFonts w:ascii="Times New Roman" w:hAnsi="Times New Roman" w:cs="Times New Roman"/>
          <w:sz w:val="24"/>
          <w:szCs w:val="24"/>
        </w:rPr>
      </w:pPr>
    </w:p>
    <w:p w14:paraId="3C2CCB54" w14:textId="3FA756C8" w:rsidR="00DC22F5" w:rsidRDefault="00625321" w:rsidP="00684570">
      <w:pPr>
        <w:pStyle w:val="ListParagraph"/>
        <w:numPr>
          <w:ilvl w:val="0"/>
          <w:numId w:val="28"/>
        </w:numPr>
        <w:spacing w:after="120" w:line="360" w:lineRule="auto"/>
        <w:ind w:left="720" w:hanging="450"/>
        <w:jc w:val="both"/>
        <w:rPr>
          <w:rFonts w:ascii="Times New Roman" w:hAnsi="Times New Roman" w:cs="Times New Roman"/>
          <w:sz w:val="24"/>
          <w:szCs w:val="24"/>
        </w:rPr>
      </w:pPr>
      <w:r>
        <w:rPr>
          <w:rFonts w:ascii="Times New Roman" w:hAnsi="Times New Roman" w:cs="Times New Roman"/>
          <w:sz w:val="24"/>
          <w:szCs w:val="24"/>
        </w:rPr>
        <w:t>T</w:t>
      </w:r>
      <w:r w:rsidR="00DC22F5" w:rsidRPr="000E15DC">
        <w:rPr>
          <w:rFonts w:ascii="Times New Roman" w:hAnsi="Times New Roman" w:cs="Times New Roman"/>
          <w:sz w:val="24"/>
          <w:szCs w:val="24"/>
        </w:rPr>
        <w:t>he ruling was delivered by Justice Burhan on 2 November 2018.</w:t>
      </w:r>
    </w:p>
    <w:p w14:paraId="7D034FC3" w14:textId="77777777" w:rsidR="000E15DC" w:rsidRPr="000E15DC" w:rsidRDefault="000E15DC" w:rsidP="00684570">
      <w:pPr>
        <w:pStyle w:val="ListParagraph"/>
        <w:spacing w:after="120" w:line="360" w:lineRule="auto"/>
        <w:ind w:hanging="450"/>
        <w:jc w:val="both"/>
        <w:rPr>
          <w:rFonts w:ascii="Times New Roman" w:hAnsi="Times New Roman" w:cs="Times New Roman"/>
          <w:sz w:val="24"/>
          <w:szCs w:val="24"/>
        </w:rPr>
      </w:pPr>
    </w:p>
    <w:p w14:paraId="1D81204C" w14:textId="4C7B05D9" w:rsidR="00DC22F5" w:rsidRDefault="00625321" w:rsidP="00684570">
      <w:pPr>
        <w:pStyle w:val="ListParagraph"/>
        <w:numPr>
          <w:ilvl w:val="0"/>
          <w:numId w:val="28"/>
        </w:numPr>
        <w:spacing w:after="120" w:line="360" w:lineRule="auto"/>
        <w:ind w:left="720" w:hanging="450"/>
        <w:jc w:val="both"/>
        <w:rPr>
          <w:rFonts w:ascii="Times New Roman" w:hAnsi="Times New Roman" w:cs="Times New Roman"/>
          <w:sz w:val="24"/>
          <w:szCs w:val="24"/>
        </w:rPr>
      </w:pPr>
      <w:r>
        <w:rPr>
          <w:rFonts w:ascii="Times New Roman" w:hAnsi="Times New Roman" w:cs="Times New Roman"/>
          <w:sz w:val="24"/>
          <w:szCs w:val="24"/>
        </w:rPr>
        <w:t>Essentially the A</w:t>
      </w:r>
      <w:r w:rsidR="00DC22F5" w:rsidRPr="000E15DC">
        <w:rPr>
          <w:rFonts w:ascii="Times New Roman" w:hAnsi="Times New Roman" w:cs="Times New Roman"/>
          <w:sz w:val="24"/>
          <w:szCs w:val="24"/>
        </w:rPr>
        <w:t>ppellant is aggrieved by the decision of the court below in refu</w:t>
      </w:r>
      <w:r>
        <w:rPr>
          <w:rFonts w:ascii="Times New Roman" w:hAnsi="Times New Roman" w:cs="Times New Roman"/>
          <w:sz w:val="24"/>
          <w:szCs w:val="24"/>
        </w:rPr>
        <w:t>sing to grant it leave to bring judicial review proceedings against the 1</w:t>
      </w:r>
      <w:r w:rsidRPr="00625321">
        <w:rPr>
          <w:rFonts w:ascii="Times New Roman" w:hAnsi="Times New Roman" w:cs="Times New Roman"/>
          <w:sz w:val="24"/>
          <w:szCs w:val="24"/>
          <w:vertAlign w:val="superscript"/>
        </w:rPr>
        <w:t>st</w:t>
      </w:r>
      <w:r w:rsidR="005512AB">
        <w:rPr>
          <w:rFonts w:ascii="Times New Roman" w:hAnsi="Times New Roman" w:cs="Times New Roman"/>
          <w:sz w:val="24"/>
          <w:szCs w:val="24"/>
        </w:rPr>
        <w:t xml:space="preserve"> Respondent</w:t>
      </w:r>
      <w:r w:rsidR="00DC22F5" w:rsidRPr="000E15DC">
        <w:rPr>
          <w:rFonts w:ascii="Times New Roman" w:hAnsi="Times New Roman" w:cs="Times New Roman"/>
          <w:sz w:val="24"/>
          <w:szCs w:val="24"/>
        </w:rPr>
        <w:t xml:space="preserve">. </w:t>
      </w:r>
      <w:r w:rsidR="005512AB">
        <w:rPr>
          <w:rFonts w:ascii="Times New Roman" w:hAnsi="Times New Roman" w:cs="Times New Roman"/>
          <w:sz w:val="24"/>
          <w:szCs w:val="24"/>
        </w:rPr>
        <w:t>T</w:t>
      </w:r>
      <w:r w:rsidR="00DC22F5" w:rsidRPr="000E15DC">
        <w:rPr>
          <w:rFonts w:ascii="Times New Roman" w:hAnsi="Times New Roman" w:cs="Times New Roman"/>
          <w:sz w:val="24"/>
          <w:szCs w:val="24"/>
        </w:rPr>
        <w:t>he court below held that there was no arguable case to permit the case to proceed to be heard on the merits.</w:t>
      </w:r>
    </w:p>
    <w:p w14:paraId="74B0F273" w14:textId="77777777" w:rsidR="00684570" w:rsidRPr="00684570" w:rsidRDefault="00684570" w:rsidP="00684570">
      <w:pPr>
        <w:pStyle w:val="ListParagraph"/>
        <w:rPr>
          <w:rFonts w:ascii="Times New Roman" w:hAnsi="Times New Roman" w:cs="Times New Roman"/>
          <w:sz w:val="24"/>
          <w:szCs w:val="24"/>
        </w:rPr>
      </w:pPr>
    </w:p>
    <w:p w14:paraId="7DC0C1B9" w14:textId="77777777" w:rsidR="00DC22F5" w:rsidRPr="000E15DC" w:rsidRDefault="00DC22F5" w:rsidP="00684570">
      <w:pPr>
        <w:spacing w:line="360" w:lineRule="auto"/>
        <w:jc w:val="both"/>
        <w:rPr>
          <w:rFonts w:ascii="Times New Roman" w:hAnsi="Times New Roman" w:cs="Times New Roman"/>
          <w:b/>
          <w:sz w:val="24"/>
          <w:szCs w:val="24"/>
        </w:rPr>
      </w:pPr>
      <w:r w:rsidRPr="000E15DC">
        <w:rPr>
          <w:rFonts w:ascii="Times New Roman" w:hAnsi="Times New Roman" w:cs="Times New Roman"/>
          <w:b/>
          <w:sz w:val="24"/>
          <w:szCs w:val="24"/>
        </w:rPr>
        <w:t>FACTS</w:t>
      </w:r>
    </w:p>
    <w:p w14:paraId="66D4C64C" w14:textId="75D0E17A" w:rsidR="00DC22F5" w:rsidRDefault="005512AB" w:rsidP="00684570">
      <w:pPr>
        <w:pStyle w:val="ListParagraph"/>
        <w:numPr>
          <w:ilvl w:val="0"/>
          <w:numId w:val="28"/>
        </w:numPr>
        <w:spacing w:after="120" w:line="360" w:lineRule="auto"/>
        <w:ind w:left="720" w:hanging="450"/>
        <w:jc w:val="both"/>
        <w:rPr>
          <w:rFonts w:ascii="Times New Roman" w:hAnsi="Times New Roman" w:cs="Times New Roman"/>
          <w:sz w:val="24"/>
          <w:szCs w:val="24"/>
        </w:rPr>
      </w:pPr>
      <w:r>
        <w:rPr>
          <w:rFonts w:ascii="Times New Roman" w:hAnsi="Times New Roman" w:cs="Times New Roman"/>
          <w:sz w:val="24"/>
          <w:szCs w:val="24"/>
        </w:rPr>
        <w:t xml:space="preserve">The material </w:t>
      </w:r>
      <w:r w:rsidR="00DC22F5" w:rsidRPr="000E15DC">
        <w:rPr>
          <w:rFonts w:ascii="Times New Roman" w:hAnsi="Times New Roman" w:cs="Times New Roman"/>
          <w:sz w:val="24"/>
          <w:szCs w:val="24"/>
        </w:rPr>
        <w:t>facts of this m</w:t>
      </w:r>
      <w:r>
        <w:rPr>
          <w:rFonts w:ascii="Times New Roman" w:hAnsi="Times New Roman" w:cs="Times New Roman"/>
          <w:sz w:val="24"/>
          <w:szCs w:val="24"/>
        </w:rPr>
        <w:t xml:space="preserve">atter are common cause and bears </w:t>
      </w:r>
      <w:r w:rsidR="00DC22F5" w:rsidRPr="000E15DC">
        <w:rPr>
          <w:rFonts w:ascii="Times New Roman" w:hAnsi="Times New Roman" w:cs="Times New Roman"/>
          <w:sz w:val="24"/>
          <w:szCs w:val="24"/>
        </w:rPr>
        <w:t>stating briefly.</w:t>
      </w:r>
    </w:p>
    <w:p w14:paraId="36590ECF" w14:textId="77777777" w:rsidR="000E15DC" w:rsidRPr="000E15DC" w:rsidRDefault="000E15DC" w:rsidP="00684570">
      <w:pPr>
        <w:pStyle w:val="ListParagraph"/>
        <w:spacing w:after="120" w:line="360" w:lineRule="auto"/>
        <w:ind w:hanging="450"/>
        <w:jc w:val="both"/>
        <w:rPr>
          <w:rFonts w:ascii="Times New Roman" w:hAnsi="Times New Roman" w:cs="Times New Roman"/>
          <w:sz w:val="24"/>
          <w:szCs w:val="24"/>
        </w:rPr>
      </w:pPr>
    </w:p>
    <w:p w14:paraId="0BC847A0" w14:textId="06D2BE53" w:rsidR="00DC22F5" w:rsidRDefault="00DC22F5" w:rsidP="00684570">
      <w:pPr>
        <w:pStyle w:val="ListParagraph"/>
        <w:numPr>
          <w:ilvl w:val="0"/>
          <w:numId w:val="28"/>
        </w:numPr>
        <w:spacing w:after="12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t xml:space="preserve">The Appellant Airtel (Seychelles) </w:t>
      </w:r>
      <w:r w:rsidR="00B27885" w:rsidRPr="000E15DC">
        <w:rPr>
          <w:rFonts w:ascii="Times New Roman" w:hAnsi="Times New Roman" w:cs="Times New Roman"/>
          <w:sz w:val="24"/>
          <w:szCs w:val="24"/>
        </w:rPr>
        <w:t>Limited (</w:t>
      </w:r>
      <w:r w:rsidRPr="000E15DC">
        <w:rPr>
          <w:rFonts w:ascii="Times New Roman" w:hAnsi="Times New Roman" w:cs="Times New Roman"/>
          <w:sz w:val="24"/>
          <w:szCs w:val="24"/>
        </w:rPr>
        <w:t>“Airtel”) and Cable &amp; Wireless (Seychelles) Limited (C&amp;W) were bidders for a tender to provide mobile communication services to the government’s closed user group (CUG).</w:t>
      </w:r>
    </w:p>
    <w:p w14:paraId="1BA3CC5C" w14:textId="77777777" w:rsidR="000E15DC" w:rsidRPr="000E15DC" w:rsidRDefault="000E15DC" w:rsidP="00684570">
      <w:pPr>
        <w:pStyle w:val="ListParagraph"/>
        <w:ind w:hanging="450"/>
        <w:rPr>
          <w:rFonts w:ascii="Times New Roman" w:hAnsi="Times New Roman" w:cs="Times New Roman"/>
          <w:sz w:val="24"/>
          <w:szCs w:val="24"/>
        </w:rPr>
      </w:pPr>
    </w:p>
    <w:p w14:paraId="1D707BD3" w14:textId="77777777" w:rsidR="00DC22F5" w:rsidRPr="000E15DC" w:rsidRDefault="00DC22F5" w:rsidP="00684570">
      <w:pPr>
        <w:pStyle w:val="ListParagraph"/>
        <w:numPr>
          <w:ilvl w:val="0"/>
          <w:numId w:val="28"/>
        </w:numPr>
        <w:spacing w:after="12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t>The National Tender Board deemed Airtel’s bid to be non-responsive to the tender requirement due to failure to submit the financial proposal in the appropriate form, and this was indicated in a letter dated 29 November 2017, to the DICT Principal Secretary and on that basis the tender was awarded to C&amp;W. In letter dated 1 December 2017, the Principal Secretary wrote a letter informing the Airtel Managing Director that the tender had been awarded to C&amp;W.</w:t>
      </w:r>
    </w:p>
    <w:p w14:paraId="7F4B180D" w14:textId="77777777" w:rsidR="00DC22F5" w:rsidRPr="000E15DC" w:rsidRDefault="00DC22F5" w:rsidP="00684570">
      <w:pPr>
        <w:pStyle w:val="ListParagraph"/>
        <w:spacing w:line="360" w:lineRule="auto"/>
        <w:ind w:left="630" w:hanging="450"/>
        <w:jc w:val="both"/>
        <w:rPr>
          <w:rFonts w:ascii="Times New Roman" w:hAnsi="Times New Roman" w:cs="Times New Roman"/>
          <w:sz w:val="24"/>
          <w:szCs w:val="24"/>
        </w:rPr>
      </w:pPr>
    </w:p>
    <w:p w14:paraId="719561D4" w14:textId="77777777" w:rsidR="005512AB" w:rsidRDefault="00DC22F5" w:rsidP="00684570">
      <w:pPr>
        <w:pStyle w:val="ListParagraph"/>
        <w:numPr>
          <w:ilvl w:val="0"/>
          <w:numId w:val="28"/>
        </w:numPr>
        <w:spacing w:after="12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lastRenderedPageBreak/>
        <w:t>Airtel unsuccessfully challenged the decision by the National Tender Board in a letter to the National Tender Board on 18 December 2017,</w:t>
      </w:r>
      <w:r w:rsidR="005512AB">
        <w:rPr>
          <w:rFonts w:ascii="Times New Roman" w:hAnsi="Times New Roman" w:cs="Times New Roman"/>
          <w:sz w:val="24"/>
          <w:szCs w:val="24"/>
        </w:rPr>
        <w:t xml:space="preserve"> </w:t>
      </w:r>
      <w:r w:rsidRPr="000E15DC">
        <w:rPr>
          <w:rFonts w:ascii="Times New Roman" w:hAnsi="Times New Roman" w:cs="Times New Roman"/>
          <w:sz w:val="24"/>
          <w:szCs w:val="24"/>
        </w:rPr>
        <w:t xml:space="preserve">on </w:t>
      </w:r>
      <w:r w:rsidR="005512AB">
        <w:rPr>
          <w:rFonts w:ascii="Times New Roman" w:hAnsi="Times New Roman" w:cs="Times New Roman"/>
          <w:sz w:val="24"/>
          <w:szCs w:val="24"/>
        </w:rPr>
        <w:t xml:space="preserve">the </w:t>
      </w:r>
      <w:r w:rsidRPr="000E15DC">
        <w:rPr>
          <w:rFonts w:ascii="Times New Roman" w:hAnsi="Times New Roman" w:cs="Times New Roman"/>
          <w:sz w:val="24"/>
          <w:szCs w:val="24"/>
        </w:rPr>
        <w:t>grounds that are a matter of record</w:t>
      </w:r>
      <w:r w:rsidR="005512AB">
        <w:rPr>
          <w:rFonts w:ascii="Times New Roman" w:hAnsi="Times New Roman" w:cs="Times New Roman"/>
          <w:sz w:val="24"/>
          <w:szCs w:val="24"/>
        </w:rPr>
        <w:t>, and which we have taken into account.</w:t>
      </w:r>
    </w:p>
    <w:p w14:paraId="72AE506B" w14:textId="77777777" w:rsidR="005512AB" w:rsidRPr="005512AB" w:rsidRDefault="005512AB" w:rsidP="005512AB">
      <w:pPr>
        <w:pStyle w:val="ListParagraph"/>
        <w:rPr>
          <w:rFonts w:ascii="Times New Roman" w:hAnsi="Times New Roman" w:cs="Times New Roman"/>
          <w:sz w:val="24"/>
          <w:szCs w:val="24"/>
        </w:rPr>
      </w:pPr>
    </w:p>
    <w:p w14:paraId="7EE6B915" w14:textId="67D00D38" w:rsidR="00DC22F5" w:rsidRDefault="005512AB" w:rsidP="00684570">
      <w:pPr>
        <w:pStyle w:val="ListParagraph"/>
        <w:numPr>
          <w:ilvl w:val="0"/>
          <w:numId w:val="28"/>
        </w:numPr>
        <w:spacing w:after="120" w:line="360" w:lineRule="auto"/>
        <w:ind w:left="720" w:hanging="450"/>
        <w:jc w:val="both"/>
        <w:rPr>
          <w:rFonts w:ascii="Times New Roman" w:hAnsi="Times New Roman" w:cs="Times New Roman"/>
          <w:sz w:val="24"/>
          <w:szCs w:val="24"/>
        </w:rPr>
      </w:pPr>
      <w:r>
        <w:rPr>
          <w:rFonts w:ascii="Times New Roman" w:hAnsi="Times New Roman" w:cs="Times New Roman"/>
          <w:sz w:val="24"/>
          <w:szCs w:val="24"/>
        </w:rPr>
        <w:t xml:space="preserve">In this appeal we are called upon </w:t>
      </w:r>
      <w:r w:rsidR="00DC22F5" w:rsidRPr="000E15DC">
        <w:rPr>
          <w:rFonts w:ascii="Times New Roman" w:hAnsi="Times New Roman" w:cs="Times New Roman"/>
          <w:sz w:val="24"/>
          <w:szCs w:val="24"/>
        </w:rPr>
        <w:t>to determine whether the court below erred in refusing to gra</w:t>
      </w:r>
      <w:r>
        <w:rPr>
          <w:rFonts w:ascii="Times New Roman" w:hAnsi="Times New Roman" w:cs="Times New Roman"/>
          <w:sz w:val="24"/>
          <w:szCs w:val="24"/>
        </w:rPr>
        <w:t>nt leave on the basis that the A</w:t>
      </w:r>
      <w:r w:rsidR="00DC22F5" w:rsidRPr="000E15DC">
        <w:rPr>
          <w:rFonts w:ascii="Times New Roman" w:hAnsi="Times New Roman" w:cs="Times New Roman"/>
          <w:sz w:val="24"/>
          <w:szCs w:val="24"/>
        </w:rPr>
        <w:t>ppellant herein had failed to establish an arguable case.</w:t>
      </w:r>
    </w:p>
    <w:p w14:paraId="71C6EAE3" w14:textId="77777777" w:rsidR="000E15DC" w:rsidRPr="000E15DC" w:rsidRDefault="000E15DC" w:rsidP="00684570">
      <w:pPr>
        <w:pStyle w:val="ListParagraph"/>
        <w:ind w:hanging="450"/>
        <w:rPr>
          <w:rFonts w:ascii="Times New Roman" w:hAnsi="Times New Roman" w:cs="Times New Roman"/>
          <w:sz w:val="24"/>
          <w:szCs w:val="24"/>
        </w:rPr>
      </w:pPr>
    </w:p>
    <w:p w14:paraId="046CD8AE" w14:textId="77777777" w:rsidR="000E15DC" w:rsidRPr="000E15DC" w:rsidRDefault="000E15DC" w:rsidP="00684570">
      <w:pPr>
        <w:pStyle w:val="ListParagraph"/>
        <w:spacing w:after="120" w:line="360" w:lineRule="auto"/>
        <w:ind w:hanging="450"/>
        <w:jc w:val="both"/>
        <w:rPr>
          <w:rFonts w:ascii="Times New Roman" w:hAnsi="Times New Roman" w:cs="Times New Roman"/>
          <w:sz w:val="6"/>
          <w:szCs w:val="6"/>
        </w:rPr>
      </w:pPr>
    </w:p>
    <w:p w14:paraId="56F0E75D" w14:textId="5DDC3A43" w:rsidR="00DC22F5" w:rsidRDefault="005512AB" w:rsidP="00684570">
      <w:pPr>
        <w:pStyle w:val="ListParagraph"/>
        <w:numPr>
          <w:ilvl w:val="0"/>
          <w:numId w:val="28"/>
        </w:numPr>
        <w:spacing w:after="120" w:line="360" w:lineRule="auto"/>
        <w:ind w:left="720" w:hanging="450"/>
        <w:jc w:val="both"/>
        <w:rPr>
          <w:rFonts w:ascii="Times New Roman" w:hAnsi="Times New Roman" w:cs="Times New Roman"/>
          <w:sz w:val="24"/>
          <w:szCs w:val="24"/>
        </w:rPr>
      </w:pPr>
      <w:r>
        <w:rPr>
          <w:rFonts w:ascii="Times New Roman" w:hAnsi="Times New Roman" w:cs="Times New Roman"/>
          <w:sz w:val="24"/>
          <w:szCs w:val="24"/>
        </w:rPr>
        <w:t>The A</w:t>
      </w:r>
      <w:r w:rsidR="00DC22F5" w:rsidRPr="000E15DC">
        <w:rPr>
          <w:rFonts w:ascii="Times New Roman" w:hAnsi="Times New Roman" w:cs="Times New Roman"/>
          <w:sz w:val="24"/>
          <w:szCs w:val="24"/>
        </w:rPr>
        <w:t xml:space="preserve">ppellant’ application to be granted leave to review the decision of the National Tender Board was rejected by the court below on a number of grounds, but the material one being that the </w:t>
      </w:r>
      <w:r w:rsidR="00B27885">
        <w:rPr>
          <w:rFonts w:ascii="Times New Roman" w:hAnsi="Times New Roman" w:cs="Times New Roman"/>
          <w:sz w:val="24"/>
          <w:szCs w:val="24"/>
        </w:rPr>
        <w:t>A</w:t>
      </w:r>
      <w:r w:rsidR="00B27885" w:rsidRPr="000E15DC">
        <w:rPr>
          <w:rFonts w:ascii="Times New Roman" w:hAnsi="Times New Roman" w:cs="Times New Roman"/>
          <w:sz w:val="24"/>
          <w:szCs w:val="24"/>
        </w:rPr>
        <w:t xml:space="preserve">ppellant </w:t>
      </w:r>
      <w:r w:rsidR="00DC22F5" w:rsidRPr="000E15DC">
        <w:rPr>
          <w:rFonts w:ascii="Times New Roman" w:hAnsi="Times New Roman" w:cs="Times New Roman"/>
          <w:sz w:val="24"/>
          <w:szCs w:val="24"/>
        </w:rPr>
        <w:t>had not established an arguable case.</w:t>
      </w:r>
    </w:p>
    <w:p w14:paraId="7D67D7EC" w14:textId="77777777" w:rsidR="00684570" w:rsidRPr="000E15DC" w:rsidRDefault="00684570" w:rsidP="00684570">
      <w:pPr>
        <w:pStyle w:val="ListParagraph"/>
        <w:spacing w:after="120" w:line="360" w:lineRule="auto"/>
        <w:jc w:val="both"/>
        <w:rPr>
          <w:rFonts w:ascii="Times New Roman" w:hAnsi="Times New Roman" w:cs="Times New Roman"/>
          <w:sz w:val="24"/>
          <w:szCs w:val="24"/>
        </w:rPr>
      </w:pPr>
    </w:p>
    <w:p w14:paraId="68937FAF" w14:textId="19B3BA49" w:rsidR="00DC22F5" w:rsidRPr="000E15DC" w:rsidRDefault="005512AB" w:rsidP="000E15DC">
      <w:pPr>
        <w:pStyle w:val="ListParagraph"/>
        <w:numPr>
          <w:ilvl w:val="0"/>
          <w:numId w:val="28"/>
        </w:numPr>
        <w:spacing w:after="120" w:line="360" w:lineRule="auto"/>
        <w:ind w:left="720" w:hanging="450"/>
        <w:jc w:val="both"/>
        <w:rPr>
          <w:rFonts w:ascii="Times New Roman" w:hAnsi="Times New Roman" w:cs="Times New Roman"/>
          <w:sz w:val="24"/>
          <w:szCs w:val="24"/>
        </w:rPr>
      </w:pPr>
      <w:r>
        <w:rPr>
          <w:rFonts w:ascii="Times New Roman" w:hAnsi="Times New Roman" w:cs="Times New Roman"/>
          <w:sz w:val="24"/>
          <w:szCs w:val="24"/>
        </w:rPr>
        <w:t>The A</w:t>
      </w:r>
      <w:r w:rsidR="00DC22F5" w:rsidRPr="000E15DC">
        <w:rPr>
          <w:rFonts w:ascii="Times New Roman" w:hAnsi="Times New Roman" w:cs="Times New Roman"/>
          <w:sz w:val="24"/>
          <w:szCs w:val="24"/>
        </w:rPr>
        <w:t xml:space="preserve">ppellant being unhappy with the decision of the lower court is now appealing to this court on a number of grounds. It is unnecessary to traverse each and every ground canvassed because all the grounds are capable of being </w:t>
      </w:r>
      <w:r w:rsidRPr="000E15DC">
        <w:rPr>
          <w:rFonts w:ascii="Times New Roman" w:hAnsi="Times New Roman" w:cs="Times New Roman"/>
          <w:sz w:val="24"/>
          <w:szCs w:val="24"/>
        </w:rPr>
        <w:t>crystallised</w:t>
      </w:r>
      <w:r w:rsidR="00DC22F5" w:rsidRPr="000E15DC">
        <w:rPr>
          <w:rFonts w:ascii="Times New Roman" w:hAnsi="Times New Roman" w:cs="Times New Roman"/>
          <w:sz w:val="24"/>
          <w:szCs w:val="24"/>
        </w:rPr>
        <w:t xml:space="preserve"> into only one material complaint or ground, namely, that the court b</w:t>
      </w:r>
      <w:r>
        <w:rPr>
          <w:rFonts w:ascii="Times New Roman" w:hAnsi="Times New Roman" w:cs="Times New Roman"/>
          <w:sz w:val="24"/>
          <w:szCs w:val="24"/>
        </w:rPr>
        <w:t>elow erred in holding that the A</w:t>
      </w:r>
      <w:r w:rsidR="00DC22F5" w:rsidRPr="000E15DC">
        <w:rPr>
          <w:rFonts w:ascii="Times New Roman" w:hAnsi="Times New Roman" w:cs="Times New Roman"/>
          <w:sz w:val="24"/>
          <w:szCs w:val="24"/>
        </w:rPr>
        <w:t>ppellant had failed to establish an arguable case.</w:t>
      </w:r>
    </w:p>
    <w:p w14:paraId="0CA00DE6" w14:textId="2846550F" w:rsidR="00DC22F5" w:rsidRPr="000E15DC" w:rsidRDefault="00DC22F5" w:rsidP="00DC22F5">
      <w:pPr>
        <w:pStyle w:val="ListParagraph"/>
        <w:spacing w:after="0" w:line="360" w:lineRule="auto"/>
        <w:ind w:left="630"/>
        <w:jc w:val="both"/>
        <w:rPr>
          <w:rFonts w:ascii="Times New Roman" w:hAnsi="Times New Roman" w:cs="Times New Roman"/>
          <w:b/>
          <w:sz w:val="6"/>
          <w:szCs w:val="6"/>
        </w:rPr>
      </w:pPr>
    </w:p>
    <w:p w14:paraId="5AAAC5DE" w14:textId="58CE9BB2" w:rsidR="000E15DC" w:rsidRPr="000E15DC" w:rsidRDefault="000E15DC" w:rsidP="000E15DC">
      <w:pPr>
        <w:pStyle w:val="ListParagraph"/>
        <w:spacing w:after="0" w:line="360" w:lineRule="auto"/>
        <w:ind w:left="630"/>
        <w:jc w:val="both"/>
        <w:rPr>
          <w:rFonts w:ascii="Times New Roman" w:hAnsi="Times New Roman" w:cs="Times New Roman"/>
          <w:b/>
          <w:sz w:val="24"/>
          <w:szCs w:val="24"/>
        </w:rPr>
      </w:pPr>
    </w:p>
    <w:p w14:paraId="7341EE85" w14:textId="77777777" w:rsidR="00DC22F5" w:rsidRPr="000E15DC" w:rsidRDefault="00DC22F5" w:rsidP="00DC22F5">
      <w:pPr>
        <w:spacing w:after="0" w:line="360" w:lineRule="auto"/>
        <w:jc w:val="both"/>
        <w:rPr>
          <w:rFonts w:ascii="Times New Roman" w:hAnsi="Times New Roman" w:cs="Times New Roman"/>
          <w:b/>
          <w:sz w:val="24"/>
          <w:szCs w:val="24"/>
        </w:rPr>
      </w:pPr>
      <w:r w:rsidRPr="000E15DC">
        <w:rPr>
          <w:rFonts w:ascii="Times New Roman" w:hAnsi="Times New Roman" w:cs="Times New Roman"/>
          <w:b/>
          <w:sz w:val="24"/>
          <w:szCs w:val="24"/>
        </w:rPr>
        <w:t>RELIEF SOUGHT</w:t>
      </w:r>
    </w:p>
    <w:p w14:paraId="43684679" w14:textId="77777777" w:rsidR="00DC22F5" w:rsidRPr="000E15DC" w:rsidRDefault="00DC22F5" w:rsidP="00DC22F5">
      <w:pPr>
        <w:spacing w:line="360" w:lineRule="auto"/>
        <w:jc w:val="both"/>
        <w:rPr>
          <w:rFonts w:ascii="Times New Roman" w:hAnsi="Times New Roman" w:cs="Times New Roman"/>
          <w:b/>
          <w:sz w:val="6"/>
          <w:szCs w:val="6"/>
        </w:rPr>
      </w:pPr>
    </w:p>
    <w:p w14:paraId="12646800" w14:textId="199E06FC" w:rsidR="00DC22F5" w:rsidRPr="000E15DC" w:rsidRDefault="00DC22F5" w:rsidP="000E15DC">
      <w:pPr>
        <w:pStyle w:val="ListParagraph"/>
        <w:numPr>
          <w:ilvl w:val="0"/>
          <w:numId w:val="28"/>
        </w:numPr>
        <w:spacing w:after="12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t>The Appellan</w:t>
      </w:r>
      <w:r w:rsidR="005512AB">
        <w:rPr>
          <w:rFonts w:ascii="Times New Roman" w:hAnsi="Times New Roman" w:cs="Times New Roman"/>
          <w:sz w:val="24"/>
          <w:szCs w:val="24"/>
        </w:rPr>
        <w:t xml:space="preserve">t prays this court </w:t>
      </w:r>
      <w:r w:rsidRPr="000E15DC">
        <w:rPr>
          <w:rFonts w:ascii="Times New Roman" w:hAnsi="Times New Roman" w:cs="Times New Roman"/>
          <w:sz w:val="24"/>
          <w:szCs w:val="24"/>
        </w:rPr>
        <w:t>to quash the decision of the Supreme Court; and</w:t>
      </w:r>
    </w:p>
    <w:p w14:paraId="30F68BE3" w14:textId="0BA6BA7F" w:rsidR="00DC22F5" w:rsidRDefault="00DC22F5" w:rsidP="000E15DC">
      <w:pPr>
        <w:pStyle w:val="ListParagraph"/>
        <w:numPr>
          <w:ilvl w:val="0"/>
          <w:numId w:val="28"/>
        </w:numPr>
        <w:spacing w:after="12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t>To grant leave for the Appellant herein to apply for judicial review of the Respondent’s decision, with costs</w:t>
      </w:r>
      <w:r w:rsidR="000E15DC">
        <w:rPr>
          <w:rFonts w:ascii="Times New Roman" w:hAnsi="Times New Roman" w:cs="Times New Roman"/>
          <w:sz w:val="24"/>
          <w:szCs w:val="24"/>
        </w:rPr>
        <w:t>.</w:t>
      </w:r>
    </w:p>
    <w:p w14:paraId="164D5E66" w14:textId="77777777" w:rsidR="000E15DC" w:rsidRPr="000E15DC" w:rsidRDefault="000E15DC" w:rsidP="000E15DC">
      <w:pPr>
        <w:pStyle w:val="ListParagraph"/>
        <w:spacing w:after="120" w:line="360" w:lineRule="auto"/>
        <w:ind w:hanging="450"/>
        <w:jc w:val="both"/>
        <w:rPr>
          <w:rFonts w:ascii="Times New Roman" w:hAnsi="Times New Roman" w:cs="Times New Roman"/>
          <w:sz w:val="24"/>
          <w:szCs w:val="24"/>
        </w:rPr>
      </w:pPr>
    </w:p>
    <w:p w14:paraId="7D614CAB" w14:textId="77777777" w:rsidR="00DC22F5" w:rsidRPr="000E15DC" w:rsidRDefault="00DC22F5" w:rsidP="00684570">
      <w:pPr>
        <w:spacing w:line="360" w:lineRule="auto"/>
        <w:jc w:val="both"/>
        <w:rPr>
          <w:rFonts w:ascii="Times New Roman" w:hAnsi="Times New Roman" w:cs="Times New Roman"/>
          <w:b/>
          <w:sz w:val="24"/>
          <w:szCs w:val="24"/>
        </w:rPr>
      </w:pPr>
      <w:r w:rsidRPr="000E15DC">
        <w:rPr>
          <w:rFonts w:ascii="Times New Roman" w:hAnsi="Times New Roman" w:cs="Times New Roman"/>
          <w:b/>
          <w:sz w:val="24"/>
          <w:szCs w:val="24"/>
        </w:rPr>
        <w:t>THE LAW</w:t>
      </w:r>
    </w:p>
    <w:p w14:paraId="18C727B9" w14:textId="77777777" w:rsidR="00DC22F5" w:rsidRPr="000E15DC" w:rsidRDefault="00DC22F5" w:rsidP="00DC22F5">
      <w:pPr>
        <w:spacing w:line="360" w:lineRule="auto"/>
        <w:ind w:left="270"/>
        <w:jc w:val="both"/>
        <w:rPr>
          <w:rFonts w:ascii="Times New Roman" w:hAnsi="Times New Roman" w:cs="Times New Roman"/>
          <w:b/>
          <w:sz w:val="6"/>
          <w:szCs w:val="6"/>
        </w:rPr>
      </w:pPr>
    </w:p>
    <w:p w14:paraId="40A5B8C3" w14:textId="64B3FA73" w:rsidR="007A1E99" w:rsidRDefault="00DC22F5" w:rsidP="000E15DC">
      <w:pPr>
        <w:pStyle w:val="ListParagraph"/>
        <w:numPr>
          <w:ilvl w:val="0"/>
          <w:numId w:val="28"/>
        </w:numPr>
        <w:spacing w:after="12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t xml:space="preserve">The law governing judicial review is found in </w:t>
      </w:r>
      <w:r w:rsidR="005512AB">
        <w:rPr>
          <w:rFonts w:ascii="Times New Roman" w:hAnsi="Times New Roman" w:cs="Times New Roman"/>
          <w:sz w:val="24"/>
          <w:szCs w:val="24"/>
        </w:rPr>
        <w:t xml:space="preserve">the </w:t>
      </w:r>
      <w:r w:rsidRPr="000E15DC">
        <w:rPr>
          <w:rFonts w:ascii="Times New Roman" w:hAnsi="Times New Roman" w:cs="Times New Roman"/>
          <w:sz w:val="24"/>
          <w:szCs w:val="24"/>
        </w:rPr>
        <w:t>Rules of the Supreme Court (Supervisory Jurisdiction Courts, Tribunals, and Adjudicating Bodies) Rules 1995, and the jurisprudence of this Court. The rule</w:t>
      </w:r>
      <w:r w:rsidR="007A1E99">
        <w:rPr>
          <w:rFonts w:ascii="Times New Roman" w:hAnsi="Times New Roman" w:cs="Times New Roman"/>
          <w:sz w:val="24"/>
          <w:szCs w:val="24"/>
        </w:rPr>
        <w:t xml:space="preserve">s </w:t>
      </w:r>
      <w:r w:rsidR="00B27885">
        <w:rPr>
          <w:rFonts w:ascii="Times New Roman" w:hAnsi="Times New Roman" w:cs="Times New Roman"/>
          <w:sz w:val="24"/>
          <w:szCs w:val="24"/>
        </w:rPr>
        <w:t>make</w:t>
      </w:r>
      <w:r w:rsidR="007A1E99">
        <w:rPr>
          <w:rFonts w:ascii="Times New Roman" w:hAnsi="Times New Roman" w:cs="Times New Roman"/>
          <w:sz w:val="24"/>
          <w:szCs w:val="24"/>
        </w:rPr>
        <w:t xml:space="preserve"> it clear that judicial r</w:t>
      </w:r>
      <w:r w:rsidRPr="000E15DC">
        <w:rPr>
          <w:rFonts w:ascii="Times New Roman" w:hAnsi="Times New Roman" w:cs="Times New Roman"/>
          <w:sz w:val="24"/>
          <w:szCs w:val="24"/>
        </w:rPr>
        <w:t>eview application com</w:t>
      </w:r>
      <w:r w:rsidR="005512AB">
        <w:rPr>
          <w:rFonts w:ascii="Times New Roman" w:hAnsi="Times New Roman" w:cs="Times New Roman"/>
          <w:sz w:val="24"/>
          <w:szCs w:val="24"/>
        </w:rPr>
        <w:t xml:space="preserve">prises of two stages: </w:t>
      </w:r>
      <w:r w:rsidRPr="000E15DC">
        <w:rPr>
          <w:rFonts w:ascii="Times New Roman" w:hAnsi="Times New Roman" w:cs="Times New Roman"/>
          <w:sz w:val="24"/>
          <w:szCs w:val="24"/>
        </w:rPr>
        <w:t>the leave stage and there</w:t>
      </w:r>
      <w:r w:rsidR="007A1E99">
        <w:rPr>
          <w:rFonts w:ascii="Times New Roman" w:hAnsi="Times New Roman" w:cs="Times New Roman"/>
          <w:sz w:val="24"/>
          <w:szCs w:val="24"/>
        </w:rPr>
        <w:t>after the merits stage.</w:t>
      </w:r>
    </w:p>
    <w:p w14:paraId="20964EE7" w14:textId="77777777" w:rsidR="00B27885" w:rsidRPr="00222CF9" w:rsidRDefault="00B27885" w:rsidP="00222CF9">
      <w:pPr>
        <w:spacing w:after="120" w:line="360" w:lineRule="auto"/>
        <w:jc w:val="both"/>
        <w:rPr>
          <w:rFonts w:ascii="Times New Roman" w:hAnsi="Times New Roman" w:cs="Times New Roman"/>
          <w:sz w:val="24"/>
          <w:szCs w:val="24"/>
        </w:rPr>
      </w:pPr>
    </w:p>
    <w:p w14:paraId="2B4B9164" w14:textId="30ADEF2D" w:rsidR="00DC22F5" w:rsidRPr="000E15DC" w:rsidRDefault="00DC22F5" w:rsidP="000E15DC">
      <w:pPr>
        <w:pStyle w:val="ListParagraph"/>
        <w:numPr>
          <w:ilvl w:val="0"/>
          <w:numId w:val="28"/>
        </w:numPr>
        <w:spacing w:after="12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lastRenderedPageBreak/>
        <w:t>Rules applicable to the leave stage are Rules 5 to 6. Rule 5 provides that:</w:t>
      </w:r>
    </w:p>
    <w:p w14:paraId="0D15711D" w14:textId="77777777" w:rsidR="00DC22F5" w:rsidRPr="000E15DC" w:rsidRDefault="00DC22F5" w:rsidP="00DC22F5">
      <w:pPr>
        <w:pStyle w:val="ListParagraph"/>
        <w:spacing w:line="360" w:lineRule="auto"/>
        <w:ind w:left="360"/>
        <w:jc w:val="both"/>
        <w:rPr>
          <w:rFonts w:ascii="Times New Roman" w:hAnsi="Times New Roman" w:cs="Times New Roman"/>
          <w:sz w:val="24"/>
          <w:szCs w:val="24"/>
        </w:rPr>
      </w:pPr>
    </w:p>
    <w:p w14:paraId="0AA11977" w14:textId="77777777" w:rsidR="00DC22F5" w:rsidRPr="000E15DC" w:rsidRDefault="00DC22F5" w:rsidP="000E15DC">
      <w:pPr>
        <w:pStyle w:val="ListParagraph"/>
        <w:spacing w:line="360" w:lineRule="auto"/>
        <w:jc w:val="both"/>
        <w:rPr>
          <w:rFonts w:ascii="Times New Roman" w:hAnsi="Times New Roman" w:cs="Times New Roman"/>
          <w:sz w:val="24"/>
          <w:szCs w:val="24"/>
        </w:rPr>
      </w:pPr>
      <w:r w:rsidRPr="000E15DC">
        <w:rPr>
          <w:rFonts w:ascii="Times New Roman" w:hAnsi="Times New Roman" w:cs="Times New Roman"/>
          <w:sz w:val="24"/>
          <w:szCs w:val="24"/>
        </w:rPr>
        <w:t>“</w:t>
      </w:r>
      <w:r w:rsidRPr="000E15DC">
        <w:rPr>
          <w:rFonts w:ascii="Times New Roman" w:hAnsi="Times New Roman" w:cs="Times New Roman"/>
          <w:i/>
          <w:sz w:val="24"/>
          <w:szCs w:val="24"/>
        </w:rPr>
        <w:t>Every petition made under Rule 2 shall be listed ex-parte for the granting of the leave to proceed</w:t>
      </w:r>
      <w:r w:rsidRPr="000E15DC">
        <w:rPr>
          <w:rFonts w:ascii="Times New Roman" w:hAnsi="Times New Roman" w:cs="Times New Roman"/>
          <w:sz w:val="24"/>
          <w:szCs w:val="24"/>
        </w:rPr>
        <w:t>”</w:t>
      </w:r>
    </w:p>
    <w:p w14:paraId="615A98FC" w14:textId="77777777" w:rsidR="00DC22F5" w:rsidRPr="000E15DC" w:rsidRDefault="00DC22F5" w:rsidP="00DC22F5">
      <w:pPr>
        <w:pStyle w:val="ListParagraph"/>
        <w:spacing w:line="360" w:lineRule="auto"/>
        <w:ind w:left="360"/>
        <w:jc w:val="both"/>
        <w:rPr>
          <w:rFonts w:ascii="Times New Roman" w:hAnsi="Times New Roman" w:cs="Times New Roman"/>
          <w:sz w:val="24"/>
          <w:szCs w:val="24"/>
        </w:rPr>
      </w:pPr>
    </w:p>
    <w:p w14:paraId="6BABE292" w14:textId="679BED02" w:rsidR="00DC22F5" w:rsidRPr="000E15DC" w:rsidRDefault="00DC22F5" w:rsidP="000E15DC">
      <w:pPr>
        <w:pStyle w:val="ListParagraph"/>
        <w:numPr>
          <w:ilvl w:val="0"/>
          <w:numId w:val="28"/>
        </w:numPr>
        <w:spacing w:after="12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t>Rule  6 provides that:</w:t>
      </w:r>
    </w:p>
    <w:p w14:paraId="3C1FF1E0" w14:textId="77777777" w:rsidR="00DC22F5" w:rsidRPr="000E15DC" w:rsidRDefault="00DC22F5" w:rsidP="000E15DC">
      <w:pPr>
        <w:pStyle w:val="ListParagraph"/>
        <w:spacing w:line="360" w:lineRule="auto"/>
        <w:ind w:hanging="450"/>
        <w:jc w:val="both"/>
        <w:rPr>
          <w:rFonts w:ascii="Times New Roman" w:hAnsi="Times New Roman" w:cs="Times New Roman"/>
          <w:sz w:val="24"/>
          <w:szCs w:val="24"/>
        </w:rPr>
      </w:pPr>
    </w:p>
    <w:p w14:paraId="308EFB83" w14:textId="77777777" w:rsidR="00DC22F5" w:rsidRPr="000E15DC" w:rsidRDefault="00DC22F5" w:rsidP="000E15DC">
      <w:pPr>
        <w:pStyle w:val="ListParagraph"/>
        <w:spacing w:line="360" w:lineRule="auto"/>
        <w:jc w:val="both"/>
        <w:rPr>
          <w:rFonts w:ascii="Times New Roman" w:hAnsi="Times New Roman" w:cs="Times New Roman"/>
          <w:sz w:val="24"/>
          <w:szCs w:val="24"/>
        </w:rPr>
      </w:pPr>
      <w:r w:rsidRPr="000E15DC">
        <w:rPr>
          <w:rFonts w:ascii="Times New Roman" w:hAnsi="Times New Roman" w:cs="Times New Roman"/>
          <w:sz w:val="24"/>
          <w:szCs w:val="24"/>
        </w:rPr>
        <w:t>“</w:t>
      </w:r>
      <w:r w:rsidRPr="000E15DC">
        <w:rPr>
          <w:rFonts w:ascii="Times New Roman" w:hAnsi="Times New Roman" w:cs="Times New Roman"/>
          <w:i/>
          <w:sz w:val="24"/>
          <w:szCs w:val="24"/>
        </w:rPr>
        <w:t>The Supreme Court shall not grant the petitioner leave to proceed unless the Court is satisfied that the petitioner has sufficient interest in the subject matter of the petition and that the petition is being made in good faith</w:t>
      </w:r>
      <w:r w:rsidRPr="000E15DC">
        <w:rPr>
          <w:rFonts w:ascii="Times New Roman" w:hAnsi="Times New Roman" w:cs="Times New Roman"/>
          <w:sz w:val="24"/>
          <w:szCs w:val="24"/>
        </w:rPr>
        <w:t>”</w:t>
      </w:r>
    </w:p>
    <w:p w14:paraId="3B793E3F" w14:textId="77777777" w:rsidR="00DC22F5" w:rsidRPr="000E15DC" w:rsidRDefault="00DC22F5" w:rsidP="00DC22F5">
      <w:pPr>
        <w:pStyle w:val="ListParagraph"/>
        <w:spacing w:line="360" w:lineRule="auto"/>
        <w:ind w:left="360"/>
        <w:jc w:val="both"/>
        <w:rPr>
          <w:rFonts w:ascii="Times New Roman" w:hAnsi="Times New Roman" w:cs="Times New Roman"/>
          <w:sz w:val="24"/>
          <w:szCs w:val="24"/>
        </w:rPr>
      </w:pPr>
    </w:p>
    <w:p w14:paraId="3555D5AC" w14:textId="1BBD5F20" w:rsidR="00DC22F5" w:rsidRDefault="00DC22F5" w:rsidP="000E15DC">
      <w:pPr>
        <w:pStyle w:val="ListParagraph"/>
        <w:numPr>
          <w:ilvl w:val="0"/>
          <w:numId w:val="28"/>
        </w:numPr>
        <w:spacing w:after="12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t xml:space="preserve">It is settled law in </w:t>
      </w:r>
      <w:r w:rsidR="007A1E99">
        <w:rPr>
          <w:rFonts w:ascii="Times New Roman" w:hAnsi="Times New Roman" w:cs="Times New Roman"/>
          <w:sz w:val="24"/>
          <w:szCs w:val="24"/>
        </w:rPr>
        <w:t xml:space="preserve">this </w:t>
      </w:r>
      <w:r w:rsidRPr="000E15DC">
        <w:rPr>
          <w:rFonts w:ascii="Times New Roman" w:hAnsi="Times New Roman" w:cs="Times New Roman"/>
          <w:sz w:val="24"/>
          <w:szCs w:val="24"/>
        </w:rPr>
        <w:t xml:space="preserve">jurisdiction that once an applicant shows that he has sufficient interest, the application passes the first test. The second test is that the application should be made in good faith. The applicant should show by his affidavit and the materials he has attached thereto that the case he makes on the material produced is a genuine case as opposed to a frivolous one. </w:t>
      </w:r>
    </w:p>
    <w:p w14:paraId="356FAEAE" w14:textId="77777777" w:rsidR="000E15DC" w:rsidRPr="000E15DC" w:rsidRDefault="000E15DC" w:rsidP="000E15DC">
      <w:pPr>
        <w:pStyle w:val="ListParagraph"/>
        <w:spacing w:after="120" w:line="360" w:lineRule="auto"/>
        <w:ind w:hanging="450"/>
        <w:jc w:val="both"/>
        <w:rPr>
          <w:rFonts w:ascii="Times New Roman" w:hAnsi="Times New Roman" w:cs="Times New Roman"/>
          <w:sz w:val="24"/>
          <w:szCs w:val="24"/>
        </w:rPr>
      </w:pPr>
    </w:p>
    <w:p w14:paraId="38F2F8B5" w14:textId="622F62E4" w:rsidR="00DC22F5" w:rsidRPr="000E15DC" w:rsidRDefault="00DC22F5" w:rsidP="000E15DC">
      <w:pPr>
        <w:pStyle w:val="ListParagraph"/>
        <w:numPr>
          <w:ilvl w:val="0"/>
          <w:numId w:val="28"/>
        </w:numPr>
        <w:spacing w:after="12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t>Under the good faith requirement this court has explained that the applicant should show that the issue/s raised in an application are arguable. If these two tests are met the judge makes an order for the c</w:t>
      </w:r>
      <w:r w:rsidR="007A1E99">
        <w:rPr>
          <w:rFonts w:ascii="Times New Roman" w:hAnsi="Times New Roman" w:cs="Times New Roman"/>
          <w:sz w:val="24"/>
          <w:szCs w:val="24"/>
        </w:rPr>
        <w:t>ase to move to the Merits Stage</w:t>
      </w:r>
      <w:r w:rsidRPr="000E15DC">
        <w:rPr>
          <w:rFonts w:ascii="Times New Roman" w:hAnsi="Times New Roman" w:cs="Times New Roman"/>
          <w:i/>
          <w:iCs/>
          <w:sz w:val="24"/>
          <w:szCs w:val="24"/>
        </w:rPr>
        <w:t>.</w:t>
      </w:r>
      <w:r w:rsidR="007A1E99">
        <w:rPr>
          <w:rFonts w:ascii="Times New Roman" w:hAnsi="Times New Roman" w:cs="Times New Roman"/>
          <w:i/>
          <w:iCs/>
          <w:sz w:val="24"/>
          <w:szCs w:val="24"/>
        </w:rPr>
        <w:t xml:space="preserve"> </w:t>
      </w:r>
      <w:r w:rsidRPr="000E15DC">
        <w:rPr>
          <w:rFonts w:ascii="Times New Roman" w:eastAsia="Calibri" w:hAnsi="Times New Roman" w:cs="Times New Roman"/>
          <w:i/>
          <w:iCs/>
          <w:sz w:val="24"/>
          <w:szCs w:val="24"/>
        </w:rPr>
        <w:t>(</w:t>
      </w:r>
      <w:r w:rsidRPr="000E15DC">
        <w:rPr>
          <w:rFonts w:ascii="Times New Roman" w:hAnsi="Times New Roman" w:cs="Times New Roman"/>
          <w:i/>
          <w:iCs/>
          <w:sz w:val="24"/>
          <w:szCs w:val="24"/>
        </w:rPr>
        <w:t>Karunakaran v The Constitutional Appointment Authority SCA 33/2016)</w:t>
      </w:r>
      <w:r w:rsidR="000E15DC">
        <w:rPr>
          <w:rFonts w:ascii="Times New Roman" w:hAnsi="Times New Roman" w:cs="Times New Roman"/>
          <w:i/>
          <w:iCs/>
          <w:sz w:val="24"/>
          <w:szCs w:val="24"/>
        </w:rPr>
        <w:t>.</w:t>
      </w:r>
    </w:p>
    <w:p w14:paraId="50976E4C" w14:textId="77777777" w:rsidR="000E15DC" w:rsidRPr="000E15DC" w:rsidRDefault="000E15DC" w:rsidP="000E15DC">
      <w:pPr>
        <w:pStyle w:val="ListParagraph"/>
        <w:ind w:hanging="450"/>
        <w:rPr>
          <w:rFonts w:ascii="Times New Roman" w:hAnsi="Times New Roman" w:cs="Times New Roman"/>
          <w:sz w:val="24"/>
          <w:szCs w:val="24"/>
        </w:rPr>
      </w:pPr>
    </w:p>
    <w:p w14:paraId="5C3C0DB2" w14:textId="645347D1" w:rsidR="00DC22F5" w:rsidRPr="00222CF9" w:rsidRDefault="00DC22F5" w:rsidP="000E15DC">
      <w:pPr>
        <w:pStyle w:val="ListParagraph"/>
        <w:numPr>
          <w:ilvl w:val="0"/>
          <w:numId w:val="28"/>
        </w:numPr>
        <w:spacing w:after="120" w:line="360" w:lineRule="auto"/>
        <w:ind w:left="720" w:hanging="450"/>
        <w:jc w:val="both"/>
        <w:rPr>
          <w:rFonts w:ascii="Times New Roman" w:hAnsi="Times New Roman" w:cs="Times New Roman"/>
          <w:i/>
          <w:sz w:val="24"/>
          <w:szCs w:val="24"/>
        </w:rPr>
      </w:pPr>
      <w:r w:rsidRPr="000E15DC">
        <w:rPr>
          <w:rFonts w:ascii="Times New Roman" w:hAnsi="Times New Roman" w:cs="Times New Roman"/>
          <w:sz w:val="24"/>
          <w:szCs w:val="24"/>
        </w:rPr>
        <w:t>The purpose of seeking leave is not to deny litigants access to the courts (something that should not be done lightly) but to weed out vexatious and wholly unmeritorious litigation by busy bodies, what the Romans called “meddlesome interlopers”.</w:t>
      </w:r>
    </w:p>
    <w:p w14:paraId="53FFC942" w14:textId="77777777" w:rsidR="00690C75" w:rsidRPr="00222CF9" w:rsidRDefault="00690C75" w:rsidP="00222CF9">
      <w:pPr>
        <w:pStyle w:val="ListParagraph"/>
        <w:rPr>
          <w:rFonts w:ascii="Times New Roman" w:hAnsi="Times New Roman" w:cs="Times New Roman"/>
          <w:i/>
          <w:sz w:val="24"/>
          <w:szCs w:val="24"/>
        </w:rPr>
      </w:pPr>
    </w:p>
    <w:p w14:paraId="636463C2" w14:textId="0AA14CBB" w:rsidR="00690C75" w:rsidRPr="00222CF9" w:rsidRDefault="00690C75" w:rsidP="00690C75">
      <w:pPr>
        <w:pStyle w:val="ListParagraph"/>
        <w:numPr>
          <w:ilvl w:val="0"/>
          <w:numId w:val="28"/>
        </w:numPr>
        <w:spacing w:after="120" w:line="360" w:lineRule="auto"/>
        <w:ind w:left="720" w:hanging="450"/>
        <w:jc w:val="both"/>
        <w:rPr>
          <w:rFonts w:ascii="Times New Roman" w:hAnsi="Times New Roman" w:cs="Times New Roman"/>
          <w:i/>
          <w:sz w:val="24"/>
          <w:szCs w:val="24"/>
        </w:rPr>
      </w:pPr>
      <w:r w:rsidRPr="000E15DC">
        <w:rPr>
          <w:rFonts w:ascii="Times New Roman" w:hAnsi="Times New Roman" w:cs="Times New Roman"/>
          <w:sz w:val="24"/>
          <w:szCs w:val="24"/>
        </w:rPr>
        <w:t xml:space="preserve">In the English case of </w:t>
      </w:r>
      <w:r w:rsidRPr="000E15DC">
        <w:rPr>
          <w:rFonts w:ascii="Times New Roman" w:hAnsi="Times New Roman" w:cs="Times New Roman"/>
          <w:i/>
          <w:sz w:val="24"/>
          <w:szCs w:val="24"/>
        </w:rPr>
        <w:t xml:space="preserve">R v Inland Revenue Commissioners, ex parte National Federation of the Self Employed and Small Businesses Ltd [1982] AC 617 </w:t>
      </w:r>
      <w:r w:rsidRPr="000E15DC">
        <w:rPr>
          <w:rFonts w:ascii="Times New Roman" w:hAnsi="Times New Roman" w:cs="Times New Roman"/>
          <w:sz w:val="24"/>
          <w:szCs w:val="24"/>
        </w:rPr>
        <w:t>it was stated that the leave stage also "</w:t>
      </w:r>
      <w:r w:rsidRPr="000E15DC">
        <w:rPr>
          <w:rFonts w:ascii="Times New Roman" w:hAnsi="Times New Roman" w:cs="Times New Roman"/>
          <w:i/>
          <w:sz w:val="24"/>
          <w:szCs w:val="24"/>
        </w:rPr>
        <w:t>enables the court to prevent abuse by busy bodies, cranks, and other mischief-makers</w:t>
      </w:r>
      <w:r w:rsidRPr="000E15DC">
        <w:rPr>
          <w:rFonts w:ascii="Times New Roman" w:hAnsi="Times New Roman" w:cs="Times New Roman"/>
          <w:sz w:val="24"/>
          <w:szCs w:val="24"/>
        </w:rPr>
        <w:t xml:space="preserve">”. </w:t>
      </w:r>
    </w:p>
    <w:p w14:paraId="35E9C90B" w14:textId="77777777" w:rsidR="00690C75" w:rsidRPr="00222CF9" w:rsidRDefault="00690C75" w:rsidP="00222CF9">
      <w:pPr>
        <w:pStyle w:val="ListParagraph"/>
        <w:rPr>
          <w:rFonts w:ascii="Times New Roman" w:hAnsi="Times New Roman" w:cs="Times New Roman"/>
          <w:i/>
          <w:sz w:val="24"/>
          <w:szCs w:val="24"/>
        </w:rPr>
      </w:pPr>
    </w:p>
    <w:p w14:paraId="1D42D318" w14:textId="7811ACE2" w:rsidR="00690C75" w:rsidRPr="000E15DC" w:rsidRDefault="00690C75" w:rsidP="00690C75">
      <w:pPr>
        <w:pStyle w:val="ListParagraph"/>
        <w:numPr>
          <w:ilvl w:val="0"/>
          <w:numId w:val="28"/>
        </w:numPr>
        <w:spacing w:after="12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lastRenderedPageBreak/>
        <w:t xml:space="preserve">It is settled law that cases that are hopeless or bound to fail, or totally devoid of merit must not be allowed to proceed further. To do so would be to squander precious judicial time unwisely. This line of reasoning </w:t>
      </w:r>
      <w:r w:rsidRPr="00737D0B">
        <w:rPr>
          <w:rFonts w:ascii="Times New Roman" w:hAnsi="Times New Roman" w:cs="Times New Roman"/>
          <w:sz w:val="24"/>
          <w:szCs w:val="24"/>
        </w:rPr>
        <w:t>is</w:t>
      </w:r>
      <w:r w:rsidRPr="004F18DC">
        <w:rPr>
          <w:rFonts w:ascii="Times New Roman" w:hAnsi="Times New Roman" w:cs="Times New Roman"/>
          <w:color w:val="FF0000"/>
          <w:sz w:val="24"/>
          <w:szCs w:val="24"/>
        </w:rPr>
        <w:t xml:space="preserve"> </w:t>
      </w:r>
      <w:r w:rsidRPr="000E15DC">
        <w:rPr>
          <w:rFonts w:ascii="Times New Roman" w:hAnsi="Times New Roman" w:cs="Times New Roman"/>
          <w:sz w:val="24"/>
          <w:szCs w:val="24"/>
        </w:rPr>
        <w:t xml:space="preserve">discernible from a plethora of authorities in this jurisdiction, such as the decision of </w:t>
      </w:r>
      <w:r w:rsidRPr="000E15DC">
        <w:rPr>
          <w:rFonts w:ascii="Times New Roman" w:hAnsi="Times New Roman" w:cs="Times New Roman"/>
          <w:i/>
          <w:sz w:val="24"/>
          <w:szCs w:val="24"/>
        </w:rPr>
        <w:t xml:space="preserve">Cable &amp; Wireless (Seychelles) Ltd  v. Minister of Finance and Communications &amp; Anor (MC 42/2017) [2018] SCSC 348 (08 April 2018) </w:t>
      </w:r>
      <w:r w:rsidRPr="000E15DC">
        <w:rPr>
          <w:rFonts w:ascii="Times New Roman" w:hAnsi="Times New Roman" w:cs="Times New Roman"/>
          <w:sz w:val="24"/>
          <w:szCs w:val="24"/>
        </w:rPr>
        <w:t xml:space="preserve">and in the Seychelles Court of Appeal in the recent case of </w:t>
      </w:r>
      <w:r w:rsidRPr="000E15DC">
        <w:rPr>
          <w:rFonts w:ascii="Times New Roman" w:hAnsi="Times New Roman" w:cs="Times New Roman"/>
          <w:i/>
          <w:sz w:val="24"/>
          <w:szCs w:val="24"/>
        </w:rPr>
        <w:t>Karunakaran v Constitutional Appointment Authority (Civil Appeal SCA 33/2016) [2017] SCCA 9 (14 April 2017)</w:t>
      </w:r>
    </w:p>
    <w:p w14:paraId="2E63AAD4" w14:textId="77777777" w:rsidR="00690C75" w:rsidRPr="000E15DC" w:rsidRDefault="00690C75" w:rsidP="00222CF9">
      <w:pPr>
        <w:pStyle w:val="ListParagraph"/>
        <w:spacing w:after="120" w:line="360" w:lineRule="auto"/>
        <w:jc w:val="both"/>
        <w:rPr>
          <w:rFonts w:ascii="Times New Roman" w:hAnsi="Times New Roman" w:cs="Times New Roman"/>
          <w:i/>
          <w:sz w:val="24"/>
          <w:szCs w:val="24"/>
        </w:rPr>
      </w:pPr>
    </w:p>
    <w:p w14:paraId="06E64C9F" w14:textId="75513059" w:rsidR="00DC22F5" w:rsidRPr="000E15DC" w:rsidRDefault="00DC22F5" w:rsidP="000E15DC">
      <w:pPr>
        <w:pStyle w:val="ListParagraph"/>
        <w:numPr>
          <w:ilvl w:val="0"/>
          <w:numId w:val="28"/>
        </w:numPr>
        <w:spacing w:after="120" w:line="360" w:lineRule="auto"/>
        <w:ind w:left="720" w:hanging="450"/>
        <w:jc w:val="both"/>
        <w:rPr>
          <w:rFonts w:ascii="Times New Roman" w:hAnsi="Times New Roman" w:cs="Times New Roman"/>
          <w:i/>
          <w:sz w:val="24"/>
          <w:szCs w:val="24"/>
        </w:rPr>
      </w:pPr>
      <w:r w:rsidRPr="000E15DC">
        <w:rPr>
          <w:rFonts w:ascii="Times New Roman" w:hAnsi="Times New Roman" w:cs="Times New Roman"/>
          <w:sz w:val="24"/>
          <w:szCs w:val="24"/>
        </w:rPr>
        <w:t>This court opines that in any case where application for leave is sought the court must be careful that it does not unduly impede or frustrate the right to access the court and have the real dispute determined by being too quick to deny a litigant the right to be heard on the merits, unless in situations where the application is plainly useless and a waste of the court’s time.</w:t>
      </w:r>
    </w:p>
    <w:p w14:paraId="4E11281B" w14:textId="77777777" w:rsidR="000E15DC" w:rsidRPr="000E15DC" w:rsidRDefault="000E15DC" w:rsidP="000E15DC">
      <w:pPr>
        <w:pStyle w:val="ListParagraph"/>
        <w:ind w:hanging="450"/>
        <w:rPr>
          <w:rFonts w:ascii="Times New Roman" w:hAnsi="Times New Roman" w:cs="Times New Roman"/>
          <w:i/>
          <w:sz w:val="24"/>
          <w:szCs w:val="24"/>
        </w:rPr>
      </w:pPr>
    </w:p>
    <w:p w14:paraId="4C1612E7" w14:textId="4EF1AE7A" w:rsidR="00DC22F5" w:rsidRPr="000E15DC" w:rsidRDefault="00DC22F5" w:rsidP="000E15DC">
      <w:pPr>
        <w:pStyle w:val="ListParagraph"/>
        <w:numPr>
          <w:ilvl w:val="0"/>
          <w:numId w:val="28"/>
        </w:numPr>
        <w:spacing w:after="120" w:line="360" w:lineRule="auto"/>
        <w:ind w:left="720" w:hanging="450"/>
        <w:jc w:val="both"/>
        <w:rPr>
          <w:rFonts w:ascii="Times New Roman" w:hAnsi="Times New Roman" w:cs="Times New Roman"/>
          <w:i/>
          <w:sz w:val="24"/>
          <w:szCs w:val="24"/>
        </w:rPr>
      </w:pPr>
      <w:r w:rsidRPr="000E15DC">
        <w:rPr>
          <w:rFonts w:ascii="Times New Roman" w:hAnsi="Times New Roman" w:cs="Times New Roman"/>
          <w:sz w:val="24"/>
          <w:szCs w:val="24"/>
        </w:rPr>
        <w:t xml:space="preserve"> Put differently, it seems to us that in all situations where leave is an issue the best approach is to adopt a liberal and generous approach that facilitates a matter proceeding on the merits than the contrary. We think that in order to give effect to the right to a fair trial it is good judicial policy that where there are doubts about whether a case is arguable</w:t>
      </w:r>
      <w:r w:rsidR="007A1E99">
        <w:rPr>
          <w:rFonts w:ascii="Times New Roman" w:hAnsi="Times New Roman" w:cs="Times New Roman"/>
          <w:sz w:val="24"/>
          <w:szCs w:val="24"/>
        </w:rPr>
        <w:t xml:space="preserve"> or not</w:t>
      </w:r>
      <w:r w:rsidRPr="000E15DC">
        <w:rPr>
          <w:rFonts w:ascii="Times New Roman" w:hAnsi="Times New Roman" w:cs="Times New Roman"/>
          <w:sz w:val="24"/>
          <w:szCs w:val="24"/>
        </w:rPr>
        <w:t xml:space="preserve"> the benefits of such doubt must accrue to the applicant.</w:t>
      </w:r>
    </w:p>
    <w:p w14:paraId="586AFF29" w14:textId="77777777" w:rsidR="000E15DC" w:rsidRPr="000E15DC" w:rsidRDefault="000E15DC" w:rsidP="000E15DC">
      <w:pPr>
        <w:pStyle w:val="ListParagraph"/>
        <w:ind w:hanging="450"/>
        <w:rPr>
          <w:rFonts w:ascii="Times New Roman" w:hAnsi="Times New Roman" w:cs="Times New Roman"/>
          <w:i/>
          <w:sz w:val="24"/>
          <w:szCs w:val="24"/>
        </w:rPr>
      </w:pPr>
    </w:p>
    <w:p w14:paraId="05E00907" w14:textId="6F9BF8AE" w:rsidR="00DC22F5" w:rsidRPr="00684570" w:rsidRDefault="00DC22F5" w:rsidP="000E15DC">
      <w:pPr>
        <w:pStyle w:val="ListParagraph"/>
        <w:numPr>
          <w:ilvl w:val="0"/>
          <w:numId w:val="28"/>
        </w:numPr>
        <w:spacing w:after="120" w:line="360" w:lineRule="auto"/>
        <w:ind w:left="720" w:hanging="450"/>
        <w:jc w:val="both"/>
        <w:rPr>
          <w:rFonts w:ascii="Times New Roman" w:hAnsi="Times New Roman" w:cs="Times New Roman"/>
          <w:i/>
          <w:sz w:val="24"/>
          <w:szCs w:val="24"/>
        </w:rPr>
      </w:pPr>
      <w:r w:rsidRPr="000E15DC">
        <w:rPr>
          <w:rFonts w:ascii="Times New Roman" w:hAnsi="Times New Roman" w:cs="Times New Roman"/>
          <w:sz w:val="24"/>
          <w:szCs w:val="24"/>
        </w:rPr>
        <w:t>This approach appears to be in accord with the modern approach adopted by many jurisdictions. The rationale of this approach is to avoid a chilling effect to challenging administrative decisions.</w:t>
      </w:r>
    </w:p>
    <w:p w14:paraId="3FBD3835" w14:textId="77777777" w:rsidR="00DC22F5" w:rsidRPr="000E15DC" w:rsidRDefault="00DC22F5" w:rsidP="00684570">
      <w:pPr>
        <w:pStyle w:val="ListParagraph"/>
        <w:spacing w:after="0" w:line="360" w:lineRule="auto"/>
        <w:ind w:hanging="450"/>
        <w:jc w:val="both"/>
        <w:rPr>
          <w:rFonts w:ascii="Times New Roman" w:hAnsi="Times New Roman" w:cs="Times New Roman"/>
          <w:sz w:val="24"/>
          <w:szCs w:val="24"/>
        </w:rPr>
      </w:pPr>
    </w:p>
    <w:p w14:paraId="5922269D" w14:textId="504CA711" w:rsidR="00DC22F5" w:rsidRPr="000E15DC" w:rsidRDefault="00DC22F5" w:rsidP="00684570">
      <w:pPr>
        <w:pStyle w:val="ListParagraph"/>
        <w:numPr>
          <w:ilvl w:val="0"/>
          <w:numId w:val="28"/>
        </w:numPr>
        <w:spacing w:after="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t>I turn now to apply the tw</w:t>
      </w:r>
      <w:r w:rsidR="007A1E99">
        <w:rPr>
          <w:rFonts w:ascii="Times New Roman" w:hAnsi="Times New Roman" w:cs="Times New Roman"/>
          <w:sz w:val="24"/>
          <w:szCs w:val="24"/>
        </w:rPr>
        <w:t xml:space="preserve">o tests set out above </w:t>
      </w:r>
      <w:r w:rsidRPr="000E15DC">
        <w:rPr>
          <w:rFonts w:ascii="Times New Roman" w:hAnsi="Times New Roman" w:cs="Times New Roman"/>
          <w:sz w:val="24"/>
          <w:szCs w:val="24"/>
        </w:rPr>
        <w:t>with respect to relevant considerations when considering an application for leave for judicial review.</w:t>
      </w:r>
    </w:p>
    <w:p w14:paraId="0E303B51" w14:textId="77777777" w:rsidR="00DC22F5" w:rsidRPr="000E15DC" w:rsidRDefault="00DC22F5" w:rsidP="00684570">
      <w:pPr>
        <w:pStyle w:val="ListParagraph"/>
        <w:spacing w:line="360" w:lineRule="auto"/>
        <w:ind w:hanging="450"/>
        <w:jc w:val="both"/>
        <w:rPr>
          <w:rFonts w:ascii="Times New Roman" w:hAnsi="Times New Roman" w:cs="Times New Roman"/>
          <w:sz w:val="24"/>
          <w:szCs w:val="24"/>
        </w:rPr>
      </w:pPr>
    </w:p>
    <w:p w14:paraId="6B604394" w14:textId="73DF2829" w:rsidR="00DC22F5" w:rsidRPr="000E15DC" w:rsidRDefault="00DC22F5" w:rsidP="00684570">
      <w:pPr>
        <w:pStyle w:val="ListParagraph"/>
        <w:numPr>
          <w:ilvl w:val="0"/>
          <w:numId w:val="28"/>
        </w:numPr>
        <w:spacing w:after="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t xml:space="preserve"> </w:t>
      </w:r>
      <w:r w:rsidR="007A1E99">
        <w:rPr>
          <w:rFonts w:ascii="Times New Roman" w:hAnsi="Times New Roman" w:cs="Times New Roman"/>
          <w:sz w:val="24"/>
          <w:szCs w:val="24"/>
        </w:rPr>
        <w:t>It is not in dispute that the A</w:t>
      </w:r>
      <w:r w:rsidRPr="000E15DC">
        <w:rPr>
          <w:rFonts w:ascii="Times New Roman" w:hAnsi="Times New Roman" w:cs="Times New Roman"/>
          <w:sz w:val="24"/>
          <w:szCs w:val="24"/>
        </w:rPr>
        <w:t xml:space="preserve">ppellant has sufficient interest in the matter. </w:t>
      </w:r>
    </w:p>
    <w:p w14:paraId="670D6499" w14:textId="77777777" w:rsidR="00DC22F5" w:rsidRPr="000E15DC" w:rsidRDefault="00DC22F5" w:rsidP="00684570">
      <w:pPr>
        <w:pStyle w:val="ListParagraph"/>
        <w:spacing w:line="360" w:lineRule="auto"/>
        <w:ind w:hanging="450"/>
        <w:jc w:val="both"/>
        <w:rPr>
          <w:rFonts w:ascii="Times New Roman" w:hAnsi="Times New Roman" w:cs="Times New Roman"/>
          <w:sz w:val="24"/>
          <w:szCs w:val="24"/>
        </w:rPr>
      </w:pPr>
    </w:p>
    <w:p w14:paraId="07D927B7" w14:textId="5FD7C382" w:rsidR="00DC22F5" w:rsidRPr="000E15DC" w:rsidRDefault="00DC22F5" w:rsidP="00684570">
      <w:pPr>
        <w:pStyle w:val="ListParagraph"/>
        <w:numPr>
          <w:ilvl w:val="0"/>
          <w:numId w:val="28"/>
        </w:numPr>
        <w:spacing w:after="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t>We have consider</w:t>
      </w:r>
      <w:r w:rsidR="007A1E99">
        <w:rPr>
          <w:rFonts w:ascii="Times New Roman" w:hAnsi="Times New Roman" w:cs="Times New Roman"/>
          <w:sz w:val="24"/>
          <w:szCs w:val="24"/>
        </w:rPr>
        <w:t>ed all the grounds of appeal in this matter. As stated earlier, c</w:t>
      </w:r>
      <w:r w:rsidRPr="000E15DC">
        <w:rPr>
          <w:rFonts w:ascii="Times New Roman" w:hAnsi="Times New Roman" w:cs="Times New Roman"/>
          <w:sz w:val="24"/>
          <w:szCs w:val="24"/>
        </w:rPr>
        <w:t xml:space="preserve">onsidered together they crystallize into only one material question: Does the case of the appellant </w:t>
      </w:r>
      <w:r w:rsidRPr="000E15DC">
        <w:rPr>
          <w:rFonts w:ascii="Times New Roman" w:hAnsi="Times New Roman" w:cs="Times New Roman"/>
          <w:sz w:val="24"/>
          <w:szCs w:val="24"/>
        </w:rPr>
        <w:lastRenderedPageBreak/>
        <w:t>establish an arguable case such that it should have been allowed to proceed to the merit stage?</w:t>
      </w:r>
    </w:p>
    <w:p w14:paraId="30D53AB3" w14:textId="77777777" w:rsidR="00DC22F5" w:rsidRPr="000E15DC" w:rsidRDefault="00DC22F5" w:rsidP="00684570">
      <w:pPr>
        <w:pStyle w:val="ListParagraph"/>
        <w:spacing w:line="360" w:lineRule="auto"/>
        <w:ind w:hanging="450"/>
        <w:jc w:val="both"/>
        <w:rPr>
          <w:rFonts w:ascii="Times New Roman" w:hAnsi="Times New Roman" w:cs="Times New Roman"/>
          <w:sz w:val="24"/>
          <w:szCs w:val="24"/>
        </w:rPr>
      </w:pPr>
    </w:p>
    <w:p w14:paraId="7F39A6BC" w14:textId="7DDC207E" w:rsidR="00DC22F5" w:rsidRPr="000E15DC" w:rsidRDefault="00DC22F5" w:rsidP="00684570">
      <w:pPr>
        <w:pStyle w:val="ListParagraph"/>
        <w:numPr>
          <w:ilvl w:val="0"/>
          <w:numId w:val="28"/>
        </w:numPr>
        <w:spacing w:after="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t xml:space="preserve">An arguable case is one that stands a realistic chance of success – certainly not one that is guaranteed to succeed. A classic statement of the law is found in the often cited case of </w:t>
      </w:r>
      <w:r w:rsidRPr="000E15DC">
        <w:rPr>
          <w:rFonts w:ascii="Times New Roman" w:hAnsi="Times New Roman" w:cs="Times New Roman"/>
          <w:i/>
          <w:sz w:val="24"/>
          <w:szCs w:val="24"/>
        </w:rPr>
        <w:t>Inland Revenue Commissioners v National Federation of Self Employed and Small Business Ltd</w:t>
      </w:r>
      <w:r w:rsidRPr="000E15DC">
        <w:rPr>
          <w:rFonts w:ascii="Times New Roman" w:hAnsi="Times New Roman" w:cs="Times New Roman"/>
          <w:sz w:val="24"/>
          <w:szCs w:val="24"/>
        </w:rPr>
        <w:t>, where Lord Diplock stated the law in the following terms:</w:t>
      </w:r>
    </w:p>
    <w:p w14:paraId="61BE85F6" w14:textId="77777777" w:rsidR="00DC22F5" w:rsidRPr="000E15DC" w:rsidRDefault="00DC22F5" w:rsidP="00684570">
      <w:pPr>
        <w:pStyle w:val="ListParagraph"/>
        <w:spacing w:line="360" w:lineRule="auto"/>
        <w:ind w:hanging="450"/>
        <w:jc w:val="both"/>
        <w:rPr>
          <w:rFonts w:ascii="Times New Roman" w:hAnsi="Times New Roman" w:cs="Times New Roman"/>
          <w:sz w:val="24"/>
          <w:szCs w:val="24"/>
        </w:rPr>
      </w:pPr>
    </w:p>
    <w:p w14:paraId="65261E62" w14:textId="610C1EA2" w:rsidR="00DC22F5" w:rsidRPr="000E15DC" w:rsidRDefault="00B27885" w:rsidP="00684570">
      <w:pPr>
        <w:pStyle w:val="ListParagraph"/>
        <w:spacing w:after="0" w:line="360" w:lineRule="auto"/>
        <w:jc w:val="both"/>
        <w:rPr>
          <w:rFonts w:ascii="Times New Roman" w:hAnsi="Times New Roman" w:cs="Times New Roman"/>
          <w:sz w:val="24"/>
          <w:szCs w:val="24"/>
        </w:rPr>
      </w:pPr>
      <w:r>
        <w:rPr>
          <w:rFonts w:ascii="Times New Roman" w:hAnsi="Times New Roman" w:cs="Times New Roman"/>
          <w:i/>
          <w:sz w:val="24"/>
          <w:szCs w:val="24"/>
        </w:rPr>
        <w:t>“</w:t>
      </w:r>
      <w:r w:rsidR="00DC22F5" w:rsidRPr="000E15DC">
        <w:rPr>
          <w:rFonts w:ascii="Times New Roman" w:hAnsi="Times New Roman" w:cs="Times New Roman"/>
          <w:i/>
          <w:sz w:val="24"/>
          <w:szCs w:val="24"/>
        </w:rPr>
        <w:t>If, on a quick perusal of the material then available, the court (that is the judge who first considers the application for leave) thinks that it discloses what might on further consideration turn out to be an arguable case in favour of granting the applicant the relief claimed, it ought, in the exercise of a judicial discretion, to give him leave to apply for the relief. The discretion that the court is exercising at this stage is not the same as that which it is called upon to exercise when all the evidence is in and the matter has been fully argued at the hearing of the application.”</w:t>
      </w:r>
    </w:p>
    <w:p w14:paraId="026884A6" w14:textId="77777777" w:rsidR="00DC22F5" w:rsidRPr="000E15DC" w:rsidRDefault="00DC22F5" w:rsidP="00684570">
      <w:pPr>
        <w:spacing w:after="0" w:line="360" w:lineRule="auto"/>
        <w:ind w:left="720" w:hanging="450"/>
        <w:jc w:val="both"/>
        <w:rPr>
          <w:rFonts w:ascii="Times New Roman" w:hAnsi="Times New Roman" w:cs="Times New Roman"/>
          <w:sz w:val="24"/>
          <w:szCs w:val="24"/>
        </w:rPr>
      </w:pPr>
    </w:p>
    <w:p w14:paraId="7EB58F1F" w14:textId="77777777" w:rsidR="00DC22F5" w:rsidRPr="000E15DC" w:rsidRDefault="00DC22F5" w:rsidP="00684570">
      <w:pPr>
        <w:pStyle w:val="ListParagraph"/>
        <w:numPr>
          <w:ilvl w:val="0"/>
          <w:numId w:val="28"/>
        </w:numPr>
        <w:spacing w:after="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t xml:space="preserve">It is settled law that at the leave stage the perusal of the material need not be thorough, it is sufficient, if on a quick perusal the court takes the view that there is an arguable case. </w:t>
      </w:r>
    </w:p>
    <w:p w14:paraId="164088A9" w14:textId="77777777" w:rsidR="00DC22F5" w:rsidRPr="000E15DC" w:rsidRDefault="00DC22F5" w:rsidP="00684570">
      <w:pPr>
        <w:pStyle w:val="ListParagraph"/>
        <w:spacing w:after="0" w:line="360" w:lineRule="auto"/>
        <w:ind w:hanging="450"/>
        <w:jc w:val="both"/>
        <w:rPr>
          <w:rFonts w:ascii="Times New Roman" w:hAnsi="Times New Roman" w:cs="Times New Roman"/>
          <w:sz w:val="24"/>
          <w:szCs w:val="24"/>
        </w:rPr>
      </w:pPr>
    </w:p>
    <w:p w14:paraId="44C77145" w14:textId="77777777" w:rsidR="00DC22F5" w:rsidRPr="000E15DC" w:rsidRDefault="00DC22F5" w:rsidP="00684570">
      <w:pPr>
        <w:pStyle w:val="ListParagraph"/>
        <w:numPr>
          <w:ilvl w:val="0"/>
          <w:numId w:val="28"/>
        </w:numPr>
        <w:spacing w:after="0" w:line="360" w:lineRule="auto"/>
        <w:ind w:left="720" w:hanging="450"/>
        <w:jc w:val="both"/>
        <w:rPr>
          <w:rFonts w:ascii="Times New Roman" w:hAnsi="Times New Roman" w:cs="Times New Roman"/>
          <w:sz w:val="24"/>
          <w:szCs w:val="24"/>
        </w:rPr>
      </w:pPr>
      <w:r w:rsidRPr="000E15DC">
        <w:rPr>
          <w:rFonts w:ascii="Times New Roman" w:hAnsi="Times New Roman" w:cs="Times New Roman"/>
          <w:sz w:val="24"/>
          <w:szCs w:val="24"/>
        </w:rPr>
        <w:t xml:space="preserve">Lord Diplock puts it more succinctly, in the </w:t>
      </w:r>
      <w:r w:rsidRPr="000E15DC">
        <w:rPr>
          <w:rFonts w:ascii="Times New Roman" w:hAnsi="Times New Roman" w:cs="Times New Roman"/>
          <w:i/>
          <w:sz w:val="24"/>
          <w:szCs w:val="24"/>
        </w:rPr>
        <w:t xml:space="preserve">Inland Revenue </w:t>
      </w:r>
      <w:r w:rsidRPr="000E15DC">
        <w:rPr>
          <w:rFonts w:ascii="Times New Roman" w:hAnsi="Times New Roman" w:cs="Times New Roman"/>
          <w:sz w:val="24"/>
          <w:szCs w:val="24"/>
        </w:rPr>
        <w:t>Commission, when he stated that:</w:t>
      </w:r>
    </w:p>
    <w:p w14:paraId="32512E8C" w14:textId="77777777" w:rsidR="00DC22F5" w:rsidRPr="000E15DC" w:rsidRDefault="00DC22F5" w:rsidP="00684570">
      <w:pPr>
        <w:pStyle w:val="ListParagraph"/>
        <w:spacing w:after="0" w:line="360" w:lineRule="auto"/>
        <w:jc w:val="both"/>
        <w:rPr>
          <w:rFonts w:ascii="Times New Roman" w:hAnsi="Times New Roman" w:cs="Times New Roman"/>
          <w:sz w:val="24"/>
          <w:szCs w:val="24"/>
        </w:rPr>
      </w:pPr>
      <w:r w:rsidRPr="000E15DC">
        <w:rPr>
          <w:rFonts w:ascii="Times New Roman" w:hAnsi="Times New Roman" w:cs="Times New Roman"/>
          <w:i/>
          <w:sz w:val="24"/>
          <w:szCs w:val="24"/>
        </w:rPr>
        <w:t>“ So this is a threshold question in the sense that the court must direct its mind to it and form a primafacie view about it upon the material that is available at the first consideration in the light of further evidence that may be before the court at the second stage, the hearing of the application for judicial review itself’</w:t>
      </w:r>
    </w:p>
    <w:p w14:paraId="3C07A472" w14:textId="77777777" w:rsidR="00DC22F5" w:rsidRPr="00684570" w:rsidRDefault="00DC22F5" w:rsidP="00684570">
      <w:pPr>
        <w:spacing w:line="360" w:lineRule="auto"/>
        <w:ind w:left="720" w:hanging="450"/>
        <w:jc w:val="both"/>
        <w:rPr>
          <w:rFonts w:ascii="Times New Roman" w:hAnsi="Times New Roman" w:cs="Times New Roman"/>
          <w:i/>
          <w:sz w:val="6"/>
          <w:szCs w:val="6"/>
        </w:rPr>
      </w:pPr>
    </w:p>
    <w:p w14:paraId="52E3283D" w14:textId="77777777" w:rsidR="002D3458" w:rsidRPr="002D3458" w:rsidRDefault="00DC22F5" w:rsidP="00684570">
      <w:pPr>
        <w:pStyle w:val="ListParagraph"/>
        <w:numPr>
          <w:ilvl w:val="0"/>
          <w:numId w:val="28"/>
        </w:numPr>
        <w:spacing w:after="120" w:line="360" w:lineRule="auto"/>
        <w:ind w:left="720" w:hanging="450"/>
        <w:jc w:val="both"/>
        <w:rPr>
          <w:rFonts w:ascii="Times New Roman" w:hAnsi="Times New Roman" w:cs="Times New Roman"/>
          <w:b/>
          <w:sz w:val="24"/>
          <w:szCs w:val="24"/>
        </w:rPr>
      </w:pPr>
      <w:r w:rsidRPr="000E15DC">
        <w:rPr>
          <w:rFonts w:ascii="Times New Roman" w:hAnsi="Times New Roman" w:cs="Times New Roman"/>
          <w:sz w:val="24"/>
          <w:szCs w:val="24"/>
        </w:rPr>
        <w:t xml:space="preserve">On a proper consideration of the facts and the law in this case it seems to us </w:t>
      </w:r>
      <w:r w:rsidR="002D3458">
        <w:rPr>
          <w:rFonts w:ascii="Times New Roman" w:hAnsi="Times New Roman" w:cs="Times New Roman"/>
          <w:sz w:val="24"/>
          <w:szCs w:val="24"/>
        </w:rPr>
        <w:t xml:space="preserve">that </w:t>
      </w:r>
      <w:r w:rsidRPr="000E15DC">
        <w:rPr>
          <w:rFonts w:ascii="Times New Roman" w:hAnsi="Times New Roman" w:cs="Times New Roman"/>
          <w:sz w:val="24"/>
          <w:szCs w:val="24"/>
        </w:rPr>
        <w:t xml:space="preserve">an arguable case was indeed established if one has regard to Regulation 61 of the Public Procurement Regulations of 2014 that says that a bid shall not be responsive if there is material deviation in the manner in which it is supposed to be presented or lodged. </w:t>
      </w:r>
    </w:p>
    <w:p w14:paraId="0C3C7791" w14:textId="588C098E" w:rsidR="00DC22F5" w:rsidRPr="00684570" w:rsidRDefault="00DC22F5" w:rsidP="00684570">
      <w:pPr>
        <w:pStyle w:val="ListParagraph"/>
        <w:numPr>
          <w:ilvl w:val="0"/>
          <w:numId w:val="28"/>
        </w:numPr>
        <w:spacing w:after="120" w:line="360" w:lineRule="auto"/>
        <w:ind w:left="720" w:hanging="450"/>
        <w:jc w:val="both"/>
        <w:rPr>
          <w:rFonts w:ascii="Times New Roman" w:hAnsi="Times New Roman" w:cs="Times New Roman"/>
          <w:b/>
          <w:sz w:val="24"/>
          <w:szCs w:val="24"/>
        </w:rPr>
      </w:pPr>
      <w:r w:rsidRPr="000E15DC">
        <w:rPr>
          <w:rFonts w:ascii="Times New Roman" w:hAnsi="Times New Roman" w:cs="Times New Roman"/>
          <w:sz w:val="24"/>
          <w:szCs w:val="24"/>
        </w:rPr>
        <w:lastRenderedPageBreak/>
        <w:t xml:space="preserve">On a closer reading of the regulation above it is clear that an evaluation of whether the bid is responsive must be </w:t>
      </w:r>
      <w:r w:rsidR="002D3458">
        <w:rPr>
          <w:rFonts w:ascii="Times New Roman" w:hAnsi="Times New Roman" w:cs="Times New Roman"/>
          <w:sz w:val="24"/>
          <w:szCs w:val="24"/>
        </w:rPr>
        <w:t xml:space="preserve">a </w:t>
      </w:r>
      <w:r w:rsidRPr="000E15DC">
        <w:rPr>
          <w:rFonts w:ascii="Times New Roman" w:hAnsi="Times New Roman" w:cs="Times New Roman"/>
          <w:sz w:val="24"/>
          <w:szCs w:val="24"/>
        </w:rPr>
        <w:t>function of the bidding entity’s capacity to carry out the works or services required in the bidding documents. It cannot be correct that issues of form can trump substance.</w:t>
      </w:r>
    </w:p>
    <w:p w14:paraId="45C48F73" w14:textId="77777777" w:rsidR="00684570" w:rsidRPr="000E15DC" w:rsidRDefault="00684570" w:rsidP="00684570">
      <w:pPr>
        <w:pStyle w:val="ListParagraph"/>
        <w:spacing w:after="120" w:line="360" w:lineRule="auto"/>
        <w:jc w:val="both"/>
        <w:rPr>
          <w:rFonts w:ascii="Times New Roman" w:hAnsi="Times New Roman" w:cs="Times New Roman"/>
          <w:b/>
          <w:sz w:val="24"/>
          <w:szCs w:val="24"/>
        </w:rPr>
      </w:pPr>
    </w:p>
    <w:p w14:paraId="06C3BA77" w14:textId="2D21C5F6" w:rsidR="00DC22F5" w:rsidRPr="00684570" w:rsidRDefault="00DC22F5" w:rsidP="00684570">
      <w:pPr>
        <w:pStyle w:val="ListParagraph"/>
        <w:numPr>
          <w:ilvl w:val="0"/>
          <w:numId w:val="28"/>
        </w:numPr>
        <w:spacing w:after="120" w:line="360" w:lineRule="auto"/>
        <w:ind w:left="720" w:hanging="450"/>
        <w:jc w:val="both"/>
        <w:rPr>
          <w:rFonts w:ascii="Times New Roman" w:hAnsi="Times New Roman" w:cs="Times New Roman"/>
          <w:b/>
          <w:sz w:val="24"/>
          <w:szCs w:val="24"/>
        </w:rPr>
      </w:pPr>
      <w:r w:rsidRPr="000E15DC">
        <w:rPr>
          <w:rFonts w:ascii="Times New Roman" w:hAnsi="Times New Roman" w:cs="Times New Roman"/>
          <w:sz w:val="24"/>
          <w:szCs w:val="24"/>
        </w:rPr>
        <w:t>On a consideration of all material before us it seems to us that the decision of the National Tender Board which was upheld by the Review Panel that the appellant bid was non –responsive is clearly an arguable matter. This conclusion on its own justified the granting of leave that was sought.</w:t>
      </w:r>
    </w:p>
    <w:p w14:paraId="1781DB25" w14:textId="77777777" w:rsidR="00684570" w:rsidRPr="00684570" w:rsidRDefault="00684570" w:rsidP="00684570">
      <w:pPr>
        <w:pStyle w:val="ListParagraph"/>
        <w:rPr>
          <w:rFonts w:ascii="Times New Roman" w:hAnsi="Times New Roman" w:cs="Times New Roman"/>
          <w:b/>
          <w:sz w:val="24"/>
          <w:szCs w:val="24"/>
        </w:rPr>
      </w:pPr>
    </w:p>
    <w:p w14:paraId="1DD510F8" w14:textId="00D77A1D" w:rsidR="00DC22F5" w:rsidRPr="00684570" w:rsidRDefault="00DC22F5" w:rsidP="00684570">
      <w:pPr>
        <w:pStyle w:val="ListParagraph"/>
        <w:numPr>
          <w:ilvl w:val="0"/>
          <w:numId w:val="28"/>
        </w:numPr>
        <w:spacing w:after="120" w:line="360" w:lineRule="auto"/>
        <w:ind w:left="720" w:hanging="450"/>
        <w:jc w:val="both"/>
        <w:rPr>
          <w:rFonts w:ascii="Times New Roman" w:eastAsia="Calibri" w:hAnsi="Times New Roman" w:cs="Times New Roman"/>
          <w:sz w:val="24"/>
          <w:szCs w:val="24"/>
        </w:rPr>
      </w:pPr>
      <w:r w:rsidRPr="000E15DC">
        <w:rPr>
          <w:rFonts w:ascii="Times New Roman" w:hAnsi="Times New Roman" w:cs="Times New Roman"/>
          <w:sz w:val="24"/>
          <w:szCs w:val="24"/>
        </w:rPr>
        <w:t>There is another aspect of this matter that has caused us concern. It is that the evidence of the National Tender board before the Review Panel was heard separately at the insistence of the Review Panel. The Appellant argues that in proceeding in this manner the Review Panel violated Article 19(1) of the Constitution of Seychelles that guarantees the right to a fair and public hearing and also breached section 15(</w:t>
      </w:r>
      <w:r w:rsidR="00B27885" w:rsidRPr="000E15DC">
        <w:rPr>
          <w:rFonts w:ascii="Times New Roman" w:hAnsi="Times New Roman" w:cs="Times New Roman"/>
          <w:sz w:val="24"/>
          <w:szCs w:val="24"/>
        </w:rPr>
        <w:t>2)</w:t>
      </w:r>
      <w:r w:rsidRPr="000E15DC">
        <w:rPr>
          <w:rFonts w:ascii="Times New Roman" w:hAnsi="Times New Roman" w:cs="Times New Roman"/>
          <w:sz w:val="24"/>
          <w:szCs w:val="24"/>
        </w:rPr>
        <w:t xml:space="preserve"> of the Public Procurement Act of 2008.</w:t>
      </w:r>
    </w:p>
    <w:p w14:paraId="0D900BA7" w14:textId="77777777" w:rsidR="00684570" w:rsidRPr="00684570" w:rsidRDefault="00684570" w:rsidP="00684570">
      <w:pPr>
        <w:pStyle w:val="ListParagraph"/>
        <w:rPr>
          <w:rFonts w:ascii="Times New Roman" w:eastAsia="Calibri" w:hAnsi="Times New Roman" w:cs="Times New Roman"/>
          <w:sz w:val="24"/>
          <w:szCs w:val="24"/>
        </w:rPr>
      </w:pPr>
    </w:p>
    <w:p w14:paraId="11F8B43E" w14:textId="0B8A0436" w:rsidR="00DC22F5" w:rsidRPr="00684570" w:rsidRDefault="00DC22F5" w:rsidP="00684570">
      <w:pPr>
        <w:pStyle w:val="ListParagraph"/>
        <w:numPr>
          <w:ilvl w:val="0"/>
          <w:numId w:val="28"/>
        </w:numPr>
        <w:spacing w:after="120" w:line="360" w:lineRule="auto"/>
        <w:ind w:left="720" w:hanging="450"/>
        <w:jc w:val="both"/>
        <w:rPr>
          <w:rFonts w:ascii="Times New Roman" w:eastAsia="Calibri" w:hAnsi="Times New Roman" w:cs="Times New Roman"/>
          <w:sz w:val="24"/>
          <w:szCs w:val="24"/>
        </w:rPr>
      </w:pPr>
      <w:r w:rsidRPr="000E15DC">
        <w:rPr>
          <w:rFonts w:ascii="Times New Roman" w:hAnsi="Times New Roman" w:cs="Times New Roman"/>
          <w:sz w:val="24"/>
          <w:szCs w:val="24"/>
        </w:rPr>
        <w:t>Stripped of all the frills and sophistry t</w:t>
      </w:r>
      <w:r w:rsidR="002D3458">
        <w:rPr>
          <w:rFonts w:ascii="Times New Roman" w:hAnsi="Times New Roman" w:cs="Times New Roman"/>
          <w:sz w:val="24"/>
          <w:szCs w:val="24"/>
        </w:rPr>
        <w:t>he A</w:t>
      </w:r>
      <w:r w:rsidRPr="000E15DC">
        <w:rPr>
          <w:rFonts w:ascii="Times New Roman" w:hAnsi="Times New Roman" w:cs="Times New Roman"/>
          <w:sz w:val="24"/>
          <w:szCs w:val="24"/>
        </w:rPr>
        <w:t>ppellant complains that in hearing the National Tender Board separately the Review Panel failed to act fairly – which is the very essence of the rules of natural justice. We must say that on this point we concede, without deciding, that proceeding in t</w:t>
      </w:r>
      <w:r w:rsidR="002D3458">
        <w:rPr>
          <w:rFonts w:ascii="Times New Roman" w:hAnsi="Times New Roman" w:cs="Times New Roman"/>
          <w:sz w:val="24"/>
          <w:szCs w:val="24"/>
        </w:rPr>
        <w:t xml:space="preserve">he manner the Review Panel did, which could not have been said to be transparent, </w:t>
      </w:r>
      <w:r w:rsidRPr="000E15DC">
        <w:rPr>
          <w:rFonts w:ascii="Times New Roman" w:hAnsi="Times New Roman" w:cs="Times New Roman"/>
          <w:sz w:val="24"/>
          <w:szCs w:val="24"/>
        </w:rPr>
        <w:t>may be open to credible doubt as to whether the principles of natural justice were followed. This is so because good administration requires transparent processes.</w:t>
      </w:r>
    </w:p>
    <w:p w14:paraId="4FC54126" w14:textId="77777777" w:rsidR="00684570" w:rsidRPr="00684570" w:rsidRDefault="00684570" w:rsidP="00684570">
      <w:pPr>
        <w:pStyle w:val="ListParagraph"/>
        <w:rPr>
          <w:rFonts w:ascii="Times New Roman" w:eastAsia="Calibri" w:hAnsi="Times New Roman" w:cs="Times New Roman"/>
          <w:sz w:val="24"/>
          <w:szCs w:val="24"/>
        </w:rPr>
      </w:pPr>
    </w:p>
    <w:p w14:paraId="0D276034" w14:textId="65745338" w:rsidR="00DC22F5" w:rsidRDefault="00DC22F5" w:rsidP="00684570">
      <w:pPr>
        <w:pStyle w:val="ListParagraph"/>
        <w:numPr>
          <w:ilvl w:val="0"/>
          <w:numId w:val="28"/>
        </w:numPr>
        <w:spacing w:after="120" w:line="360" w:lineRule="auto"/>
        <w:ind w:left="720" w:hanging="450"/>
        <w:jc w:val="both"/>
        <w:rPr>
          <w:rFonts w:ascii="Times New Roman" w:eastAsia="Calibri" w:hAnsi="Times New Roman" w:cs="Times New Roman"/>
          <w:sz w:val="24"/>
          <w:szCs w:val="24"/>
        </w:rPr>
      </w:pPr>
      <w:r w:rsidRPr="000E15DC">
        <w:rPr>
          <w:rFonts w:ascii="Times New Roman" w:hAnsi="Times New Roman" w:cs="Times New Roman"/>
          <w:sz w:val="24"/>
          <w:szCs w:val="24"/>
        </w:rPr>
        <w:t xml:space="preserve">The duty to act fairly lies at the heart of natural justice and is part </w:t>
      </w:r>
      <w:r w:rsidR="00B12881" w:rsidRPr="007A3BEC">
        <w:rPr>
          <w:rFonts w:ascii="Times New Roman" w:hAnsi="Times New Roman" w:cs="Times New Roman"/>
          <w:sz w:val="24"/>
          <w:szCs w:val="24"/>
        </w:rPr>
        <w:t>of</w:t>
      </w:r>
      <w:r w:rsidR="00B12881">
        <w:rPr>
          <w:rFonts w:ascii="Times New Roman" w:hAnsi="Times New Roman" w:cs="Times New Roman"/>
          <w:sz w:val="24"/>
          <w:szCs w:val="24"/>
        </w:rPr>
        <w:t xml:space="preserve"> </w:t>
      </w:r>
      <w:r w:rsidRPr="000E15DC">
        <w:rPr>
          <w:rFonts w:ascii="Times New Roman" w:hAnsi="Times New Roman" w:cs="Times New Roman"/>
          <w:sz w:val="24"/>
          <w:szCs w:val="24"/>
        </w:rPr>
        <w:t>our common law heritage. It is</w:t>
      </w:r>
      <w:r w:rsidRPr="000E15DC">
        <w:rPr>
          <w:rFonts w:ascii="Times New Roman" w:eastAsia="Calibri" w:hAnsi="Times New Roman" w:cs="Times New Roman"/>
          <w:sz w:val="24"/>
          <w:szCs w:val="24"/>
        </w:rPr>
        <w:t xml:space="preserve"> a fundamental principle of fairness at commo</w:t>
      </w:r>
      <w:r w:rsidR="002D3458">
        <w:rPr>
          <w:rFonts w:ascii="Times New Roman" w:eastAsia="Calibri" w:hAnsi="Times New Roman" w:cs="Times New Roman"/>
          <w:sz w:val="24"/>
          <w:szCs w:val="24"/>
        </w:rPr>
        <w:t xml:space="preserve">n law that a party </w:t>
      </w:r>
      <w:r w:rsidRPr="000E15DC">
        <w:rPr>
          <w:rFonts w:ascii="Times New Roman" w:eastAsia="Calibri" w:hAnsi="Times New Roman" w:cs="Times New Roman"/>
          <w:sz w:val="24"/>
          <w:szCs w:val="24"/>
        </w:rPr>
        <w:t xml:space="preserve">whose interests may be adversely affected by what another says </w:t>
      </w:r>
      <w:r w:rsidR="00B27885">
        <w:rPr>
          <w:rFonts w:ascii="Times New Roman" w:eastAsia="Calibri" w:hAnsi="Times New Roman" w:cs="Times New Roman"/>
          <w:sz w:val="24"/>
          <w:szCs w:val="24"/>
        </w:rPr>
        <w:t>(in</w:t>
      </w:r>
      <w:r w:rsidR="002D3458">
        <w:rPr>
          <w:rFonts w:ascii="Times New Roman" w:eastAsia="Calibri" w:hAnsi="Times New Roman" w:cs="Times New Roman"/>
          <w:sz w:val="24"/>
          <w:szCs w:val="24"/>
        </w:rPr>
        <w:t xml:space="preserve"> its absence) </w:t>
      </w:r>
      <w:r w:rsidRPr="000E15DC">
        <w:rPr>
          <w:rFonts w:ascii="Times New Roman" w:eastAsia="Calibri" w:hAnsi="Times New Roman" w:cs="Times New Roman"/>
          <w:sz w:val="24"/>
          <w:szCs w:val="24"/>
        </w:rPr>
        <w:t>must have the opportunity to be heard in challenging what that party says that may be adverse to its interests.</w:t>
      </w:r>
      <w:r w:rsidR="002D3458">
        <w:rPr>
          <w:rFonts w:ascii="Times New Roman" w:eastAsia="Calibri" w:hAnsi="Times New Roman" w:cs="Times New Roman"/>
          <w:sz w:val="24"/>
          <w:szCs w:val="24"/>
        </w:rPr>
        <w:t xml:space="preserve"> Just how strong this argument is, is clearly arguable.</w:t>
      </w:r>
    </w:p>
    <w:p w14:paraId="56A272CC" w14:textId="77777777" w:rsidR="00684570" w:rsidRPr="00684570" w:rsidRDefault="00684570" w:rsidP="00684570">
      <w:pPr>
        <w:pStyle w:val="ListParagraph"/>
        <w:rPr>
          <w:rFonts w:ascii="Times New Roman" w:eastAsia="Calibri" w:hAnsi="Times New Roman" w:cs="Times New Roman"/>
          <w:sz w:val="24"/>
          <w:szCs w:val="24"/>
        </w:rPr>
      </w:pPr>
    </w:p>
    <w:p w14:paraId="04809180" w14:textId="3540195D" w:rsidR="00DC22F5" w:rsidRDefault="00DC22F5" w:rsidP="002D3458">
      <w:pPr>
        <w:pStyle w:val="ListParagraph"/>
        <w:numPr>
          <w:ilvl w:val="0"/>
          <w:numId w:val="28"/>
        </w:numPr>
        <w:spacing w:after="120" w:line="360" w:lineRule="auto"/>
        <w:ind w:left="720" w:hanging="450"/>
        <w:jc w:val="both"/>
        <w:rPr>
          <w:rFonts w:ascii="Times New Roman" w:eastAsia="Calibri" w:hAnsi="Times New Roman" w:cs="Times New Roman"/>
          <w:sz w:val="24"/>
          <w:szCs w:val="24"/>
        </w:rPr>
      </w:pPr>
      <w:r w:rsidRPr="000E15DC">
        <w:rPr>
          <w:rFonts w:ascii="Times New Roman" w:eastAsia="Calibri" w:hAnsi="Times New Roman" w:cs="Times New Roman"/>
          <w:sz w:val="24"/>
          <w:szCs w:val="24"/>
        </w:rPr>
        <w:lastRenderedPageBreak/>
        <w:t>It is also trite learning that the applicability of the rules of natural justice dep</w:t>
      </w:r>
      <w:r w:rsidR="002D3458">
        <w:rPr>
          <w:rFonts w:ascii="Times New Roman" w:eastAsia="Calibri" w:hAnsi="Times New Roman" w:cs="Times New Roman"/>
          <w:sz w:val="24"/>
          <w:szCs w:val="24"/>
        </w:rPr>
        <w:t>ends on the circumstances of each case</w:t>
      </w:r>
      <w:r w:rsidRPr="000E15DC">
        <w:rPr>
          <w:rFonts w:ascii="Times New Roman" w:eastAsia="Calibri" w:hAnsi="Times New Roman" w:cs="Times New Roman"/>
          <w:sz w:val="24"/>
          <w:szCs w:val="24"/>
        </w:rPr>
        <w:t>, including the importance of the subject matter and the issues in contention, considered in the context of what the law says.</w:t>
      </w:r>
    </w:p>
    <w:p w14:paraId="18F0F1FF" w14:textId="4CBF4391" w:rsidR="00684570" w:rsidRPr="00737D0B" w:rsidRDefault="00737D0B" w:rsidP="00737D0B">
      <w:pPr>
        <w:pStyle w:val="ListParagraph"/>
        <w:tabs>
          <w:tab w:val="left" w:pos="1140"/>
        </w:tabs>
        <w:rPr>
          <w:rFonts w:ascii="Times New Roman" w:eastAsia="Calibri" w:hAnsi="Times New Roman" w:cs="Times New Roman"/>
        </w:rPr>
      </w:pPr>
      <w:r>
        <w:rPr>
          <w:rFonts w:ascii="Times New Roman" w:eastAsia="Calibri" w:hAnsi="Times New Roman" w:cs="Times New Roman"/>
          <w:sz w:val="24"/>
          <w:szCs w:val="24"/>
        </w:rPr>
        <w:tab/>
      </w:r>
    </w:p>
    <w:p w14:paraId="535AA0BC" w14:textId="77BC9817" w:rsidR="00DC22F5" w:rsidRDefault="00DC22F5" w:rsidP="00222CF9">
      <w:pPr>
        <w:pStyle w:val="ListParagraph"/>
        <w:numPr>
          <w:ilvl w:val="0"/>
          <w:numId w:val="28"/>
        </w:numPr>
        <w:spacing w:after="0" w:line="360" w:lineRule="auto"/>
        <w:ind w:left="720" w:hanging="450"/>
        <w:jc w:val="both"/>
        <w:rPr>
          <w:rFonts w:ascii="Times New Roman" w:eastAsia="Calibri" w:hAnsi="Times New Roman" w:cs="Times New Roman"/>
          <w:sz w:val="24"/>
          <w:szCs w:val="24"/>
        </w:rPr>
      </w:pPr>
      <w:r w:rsidRPr="000E15DC">
        <w:rPr>
          <w:rFonts w:ascii="Times New Roman" w:eastAsia="Calibri" w:hAnsi="Times New Roman" w:cs="Times New Roman"/>
          <w:sz w:val="24"/>
          <w:szCs w:val="24"/>
        </w:rPr>
        <w:t>It is now incontrovertible that our law has developed to a point where it may be accepted that there is a common law duty to act fairly, in the sense of according procedural fairness, in the making of decisions which affect rights and interests, subject only to the clear manifestation of statutory intention.</w:t>
      </w:r>
    </w:p>
    <w:p w14:paraId="1923AD55" w14:textId="77777777" w:rsidR="00B27885" w:rsidRPr="00737D0B" w:rsidRDefault="00B27885" w:rsidP="00222CF9">
      <w:pPr>
        <w:spacing w:after="120" w:line="360" w:lineRule="auto"/>
        <w:jc w:val="both"/>
        <w:rPr>
          <w:rFonts w:ascii="Times New Roman" w:eastAsia="Calibri" w:hAnsi="Times New Roman" w:cs="Times New Roman"/>
          <w:sz w:val="6"/>
          <w:szCs w:val="6"/>
        </w:rPr>
      </w:pPr>
    </w:p>
    <w:p w14:paraId="56D51FD7" w14:textId="7F70783C" w:rsidR="00DC22F5" w:rsidRPr="00684570" w:rsidRDefault="00DC22F5" w:rsidP="00684570">
      <w:pPr>
        <w:pStyle w:val="ListParagraph"/>
        <w:numPr>
          <w:ilvl w:val="0"/>
          <w:numId w:val="28"/>
        </w:numPr>
        <w:spacing w:after="120" w:line="360" w:lineRule="auto"/>
        <w:ind w:left="720" w:hanging="450"/>
        <w:jc w:val="both"/>
        <w:rPr>
          <w:rFonts w:ascii="Times New Roman" w:hAnsi="Times New Roman" w:cs="Times New Roman"/>
          <w:sz w:val="24"/>
          <w:szCs w:val="24"/>
        </w:rPr>
      </w:pPr>
      <w:r w:rsidRPr="00684570">
        <w:rPr>
          <w:rFonts w:ascii="Times New Roman" w:eastAsia="Calibri" w:hAnsi="Times New Roman" w:cs="Times New Roman"/>
          <w:sz w:val="24"/>
          <w:szCs w:val="24"/>
        </w:rPr>
        <w:t>Put differently, and pithily, it is our law that the common law requirements of procedural fairness, will in the absence of a clear contrary legislative intent, be recognized as applying generally to decision making of public bodies.</w:t>
      </w:r>
    </w:p>
    <w:p w14:paraId="0C2A6822" w14:textId="77777777" w:rsidR="00684570" w:rsidRPr="00737D0B" w:rsidRDefault="00684570" w:rsidP="00684570">
      <w:pPr>
        <w:pStyle w:val="ListParagraph"/>
        <w:rPr>
          <w:rFonts w:ascii="Times New Roman" w:hAnsi="Times New Roman" w:cs="Times New Roman"/>
          <w:sz w:val="12"/>
          <w:szCs w:val="12"/>
        </w:rPr>
      </w:pPr>
    </w:p>
    <w:p w14:paraId="49336940" w14:textId="6DBC1B55" w:rsidR="00DC22F5" w:rsidRPr="00684570" w:rsidRDefault="00DC22F5" w:rsidP="00684570">
      <w:pPr>
        <w:pStyle w:val="ListParagraph"/>
        <w:numPr>
          <w:ilvl w:val="0"/>
          <w:numId w:val="28"/>
        </w:numPr>
        <w:spacing w:after="120" w:line="360" w:lineRule="auto"/>
        <w:ind w:left="720" w:hanging="450"/>
        <w:jc w:val="both"/>
        <w:rPr>
          <w:rFonts w:ascii="Times New Roman" w:hAnsi="Times New Roman" w:cs="Times New Roman"/>
          <w:sz w:val="24"/>
          <w:szCs w:val="24"/>
        </w:rPr>
      </w:pPr>
      <w:r w:rsidRPr="00684570">
        <w:rPr>
          <w:rFonts w:ascii="Times New Roman" w:eastAsia="Calibri" w:hAnsi="Times New Roman" w:cs="Times New Roman"/>
          <w:sz w:val="24"/>
          <w:szCs w:val="24"/>
        </w:rPr>
        <w:t>In the result, the appeal succeeds.</w:t>
      </w:r>
    </w:p>
    <w:p w14:paraId="2F87A6FF" w14:textId="77777777" w:rsidR="00684570" w:rsidRPr="00737D0B" w:rsidRDefault="00684570" w:rsidP="00684570">
      <w:pPr>
        <w:pStyle w:val="ListParagraph"/>
        <w:rPr>
          <w:rFonts w:ascii="Times New Roman" w:hAnsi="Times New Roman" w:cs="Times New Roman"/>
          <w:sz w:val="12"/>
          <w:szCs w:val="12"/>
        </w:rPr>
      </w:pPr>
    </w:p>
    <w:p w14:paraId="5459968A" w14:textId="77777777" w:rsidR="00DC22F5" w:rsidRPr="00684570" w:rsidRDefault="00DC22F5" w:rsidP="00684570">
      <w:pPr>
        <w:pStyle w:val="ListParagraph"/>
        <w:numPr>
          <w:ilvl w:val="0"/>
          <w:numId w:val="28"/>
        </w:numPr>
        <w:spacing w:after="120" w:line="360" w:lineRule="auto"/>
        <w:ind w:left="720" w:hanging="450"/>
        <w:jc w:val="both"/>
        <w:rPr>
          <w:rFonts w:ascii="Times New Roman" w:hAnsi="Times New Roman" w:cs="Times New Roman"/>
          <w:sz w:val="24"/>
          <w:szCs w:val="24"/>
        </w:rPr>
      </w:pPr>
      <w:r w:rsidRPr="00684570">
        <w:rPr>
          <w:rFonts w:ascii="Times New Roman" w:eastAsia="Calibri" w:hAnsi="Times New Roman" w:cs="Times New Roman"/>
          <w:sz w:val="24"/>
          <w:szCs w:val="24"/>
        </w:rPr>
        <w:t>We make the following formal orders</w:t>
      </w:r>
    </w:p>
    <w:p w14:paraId="0BF10141" w14:textId="25F6FE18" w:rsidR="00DC22F5" w:rsidRPr="00684570" w:rsidRDefault="00DC22F5" w:rsidP="00684570">
      <w:pPr>
        <w:pStyle w:val="ListParagraph"/>
        <w:numPr>
          <w:ilvl w:val="0"/>
          <w:numId w:val="29"/>
        </w:numPr>
        <w:tabs>
          <w:tab w:val="left" w:pos="1080"/>
        </w:tabs>
        <w:spacing w:after="120" w:line="360" w:lineRule="auto"/>
        <w:ind w:left="720" w:firstLine="0"/>
        <w:jc w:val="both"/>
        <w:rPr>
          <w:rFonts w:ascii="Times New Roman" w:hAnsi="Times New Roman" w:cs="Times New Roman"/>
          <w:sz w:val="24"/>
          <w:szCs w:val="24"/>
        </w:rPr>
      </w:pPr>
      <w:r w:rsidRPr="00684570">
        <w:rPr>
          <w:rFonts w:ascii="Times New Roman" w:eastAsia="Calibri" w:hAnsi="Times New Roman" w:cs="Times New Roman"/>
          <w:sz w:val="24"/>
          <w:szCs w:val="24"/>
        </w:rPr>
        <w:t>Leave to proceed with judicial review on the merits is gra</w:t>
      </w:r>
      <w:r w:rsidR="00B12881" w:rsidRPr="007A3BEC">
        <w:rPr>
          <w:rFonts w:ascii="Times New Roman" w:eastAsia="Calibri" w:hAnsi="Times New Roman" w:cs="Times New Roman"/>
          <w:sz w:val="24"/>
          <w:szCs w:val="24"/>
        </w:rPr>
        <w:t>n</w:t>
      </w:r>
      <w:r w:rsidRPr="00684570">
        <w:rPr>
          <w:rFonts w:ascii="Times New Roman" w:eastAsia="Calibri" w:hAnsi="Times New Roman" w:cs="Times New Roman"/>
          <w:sz w:val="24"/>
          <w:szCs w:val="24"/>
        </w:rPr>
        <w:t>ted</w:t>
      </w:r>
    </w:p>
    <w:p w14:paraId="37C9DB47" w14:textId="77777777" w:rsidR="00DC22F5" w:rsidRPr="00684570" w:rsidRDefault="00DC22F5" w:rsidP="00684570">
      <w:pPr>
        <w:pStyle w:val="ListParagraph"/>
        <w:numPr>
          <w:ilvl w:val="0"/>
          <w:numId w:val="29"/>
        </w:numPr>
        <w:tabs>
          <w:tab w:val="left" w:pos="1080"/>
        </w:tabs>
        <w:spacing w:after="120" w:line="360" w:lineRule="auto"/>
        <w:ind w:left="720" w:firstLine="0"/>
        <w:jc w:val="both"/>
        <w:rPr>
          <w:rFonts w:ascii="Times New Roman" w:hAnsi="Times New Roman" w:cs="Times New Roman"/>
          <w:sz w:val="24"/>
          <w:szCs w:val="24"/>
        </w:rPr>
      </w:pPr>
      <w:r w:rsidRPr="00684570">
        <w:rPr>
          <w:rFonts w:ascii="Times New Roman" w:eastAsia="Calibri" w:hAnsi="Times New Roman" w:cs="Times New Roman"/>
          <w:sz w:val="24"/>
          <w:szCs w:val="24"/>
        </w:rPr>
        <w:t>This matter is remitted to the Supreme Court to hear the case on the merits</w:t>
      </w:r>
    </w:p>
    <w:p w14:paraId="55EE0344" w14:textId="743F902A" w:rsidR="00DC22F5" w:rsidRPr="00684570" w:rsidRDefault="00DC22F5" w:rsidP="00684570">
      <w:pPr>
        <w:pStyle w:val="ListParagraph"/>
        <w:numPr>
          <w:ilvl w:val="0"/>
          <w:numId w:val="29"/>
        </w:numPr>
        <w:tabs>
          <w:tab w:val="left" w:pos="1080"/>
        </w:tabs>
        <w:spacing w:after="120" w:line="360" w:lineRule="auto"/>
        <w:ind w:left="720" w:firstLine="0"/>
        <w:jc w:val="both"/>
        <w:rPr>
          <w:rFonts w:ascii="Times New Roman" w:hAnsi="Times New Roman" w:cs="Times New Roman"/>
          <w:sz w:val="24"/>
          <w:szCs w:val="24"/>
        </w:rPr>
      </w:pPr>
      <w:r w:rsidRPr="00684570">
        <w:rPr>
          <w:rFonts w:ascii="Times New Roman" w:eastAsia="Calibri" w:hAnsi="Times New Roman" w:cs="Times New Roman"/>
          <w:sz w:val="24"/>
          <w:szCs w:val="24"/>
        </w:rPr>
        <w:t>There is no order as to costs.</w:t>
      </w:r>
    </w:p>
    <w:p w14:paraId="5A29C1F5" w14:textId="1522453A" w:rsidR="00DC22F5" w:rsidRDefault="00DC22F5" w:rsidP="003F751A">
      <w:pPr>
        <w:jc w:val="both"/>
        <w:rPr>
          <w:rFonts w:ascii="Times New Roman" w:hAnsi="Times New Roman" w:cs="Times New Roman"/>
          <w:b/>
        </w:rPr>
      </w:pPr>
    </w:p>
    <w:p w14:paraId="6E9F54CB" w14:textId="77777777" w:rsidR="00684570" w:rsidRPr="00C40F27" w:rsidRDefault="00684570" w:rsidP="00684570">
      <w:pPr>
        <w:pStyle w:val="ListParagraph"/>
        <w:spacing w:line="480" w:lineRule="auto"/>
        <w:ind w:left="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________________________________</w:t>
      </w:r>
    </w:p>
    <w:p w14:paraId="7184D067" w14:textId="573C902C" w:rsidR="00684570" w:rsidRDefault="0017636C" w:rsidP="00684570">
      <w:pPr>
        <w:pStyle w:val="ListParagraph"/>
        <w:spacing w:line="480" w:lineRule="auto"/>
        <w:ind w:left="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Dr. O. </w:t>
      </w:r>
      <w:r w:rsidR="00684570">
        <w:rPr>
          <w:rFonts w:ascii="Times New Roman" w:hAnsi="Times New Roman" w:cs="Times New Roman"/>
          <w:color w:val="202124"/>
          <w:sz w:val="24"/>
          <w:szCs w:val="24"/>
          <w:shd w:val="clear" w:color="auto" w:fill="FFFFFF"/>
        </w:rPr>
        <w:t>Dingake</w:t>
      </w:r>
      <w:r>
        <w:rPr>
          <w:rFonts w:ascii="Times New Roman" w:hAnsi="Times New Roman" w:cs="Times New Roman"/>
          <w:color w:val="202124"/>
          <w:sz w:val="24"/>
          <w:szCs w:val="24"/>
          <w:shd w:val="clear" w:color="auto" w:fill="FFFFFF"/>
        </w:rPr>
        <w:t>,</w:t>
      </w:r>
      <w:r w:rsidR="00684570">
        <w:rPr>
          <w:rFonts w:ascii="Times New Roman" w:hAnsi="Times New Roman" w:cs="Times New Roman"/>
          <w:color w:val="202124"/>
          <w:sz w:val="24"/>
          <w:szCs w:val="24"/>
          <w:shd w:val="clear" w:color="auto" w:fill="FFFFFF"/>
        </w:rPr>
        <w:t xml:space="preserve"> JA</w:t>
      </w:r>
    </w:p>
    <w:p w14:paraId="0F3BE58C" w14:textId="77777777" w:rsidR="00684570" w:rsidRPr="008409A4" w:rsidRDefault="00684570" w:rsidP="00684570">
      <w:pPr>
        <w:spacing w:line="360" w:lineRule="auto"/>
        <w:ind w:right="720"/>
        <w:jc w:val="both"/>
        <w:rPr>
          <w:rFonts w:ascii="Times New Roman" w:hAnsi="Times New Roman" w:cs="Times New Roman"/>
          <w:color w:val="202124"/>
          <w:sz w:val="10"/>
          <w:szCs w:val="10"/>
          <w:shd w:val="clear" w:color="auto" w:fill="FFFFFF"/>
        </w:rPr>
      </w:pPr>
    </w:p>
    <w:p w14:paraId="07E1F585" w14:textId="357856C9" w:rsidR="00684570" w:rsidRPr="00C40F27" w:rsidRDefault="00684570" w:rsidP="00684570">
      <w:p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t>_______________________</w:t>
      </w:r>
    </w:p>
    <w:p w14:paraId="029491A3" w14:textId="71DDFF89"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sidR="0017636C">
        <w:rPr>
          <w:rFonts w:ascii="Times New Roman" w:hAnsi="Times New Roman" w:cs="Times New Roman"/>
          <w:color w:val="202124"/>
          <w:sz w:val="24"/>
          <w:szCs w:val="24"/>
          <w:shd w:val="clear" w:color="auto" w:fill="FFFFFF"/>
        </w:rPr>
        <w:t xml:space="preserve">Dr. M. </w:t>
      </w:r>
      <w:r>
        <w:rPr>
          <w:rFonts w:ascii="Times New Roman" w:hAnsi="Times New Roman" w:cs="Times New Roman"/>
          <w:color w:val="202124"/>
          <w:sz w:val="24"/>
          <w:szCs w:val="24"/>
          <w:shd w:val="clear" w:color="auto" w:fill="FFFFFF"/>
        </w:rPr>
        <w:t>Twomey</w:t>
      </w:r>
      <w:r w:rsidR="0017636C">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JA</w:t>
      </w:r>
    </w:p>
    <w:p w14:paraId="18A3D509" w14:textId="77777777" w:rsidR="00684570" w:rsidRPr="008409A4" w:rsidRDefault="00684570" w:rsidP="00684570">
      <w:pPr>
        <w:spacing w:line="240" w:lineRule="auto"/>
        <w:ind w:right="720"/>
        <w:jc w:val="both"/>
        <w:rPr>
          <w:rFonts w:ascii="Times New Roman" w:hAnsi="Times New Roman" w:cs="Times New Roman"/>
          <w:color w:val="202124"/>
          <w:sz w:val="10"/>
          <w:szCs w:val="10"/>
          <w:shd w:val="clear" w:color="auto" w:fill="FFFFFF"/>
        </w:rPr>
      </w:pPr>
    </w:p>
    <w:p w14:paraId="6030844D" w14:textId="516F43A2"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p>
    <w:p w14:paraId="40505A22" w14:textId="5E2911E1" w:rsidR="00684570" w:rsidRDefault="00684570" w:rsidP="00684570">
      <w:pPr>
        <w:tabs>
          <w:tab w:val="left" w:pos="5040"/>
        </w:tabs>
        <w:spacing w:line="48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 concur</w:t>
      </w:r>
      <w:r>
        <w:rPr>
          <w:rFonts w:ascii="Times New Roman" w:hAnsi="Times New Roman" w:cs="Times New Roman"/>
          <w:color w:val="202124"/>
          <w:sz w:val="24"/>
          <w:szCs w:val="24"/>
          <w:shd w:val="clear" w:color="auto" w:fill="FFFFFF"/>
        </w:rPr>
        <w:tab/>
        <w:t>_______________________</w:t>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sidR="0017636C">
        <w:rPr>
          <w:rFonts w:ascii="Times New Roman" w:hAnsi="Times New Roman" w:cs="Times New Roman"/>
          <w:color w:val="202124"/>
          <w:sz w:val="24"/>
          <w:szCs w:val="24"/>
          <w:shd w:val="clear" w:color="auto" w:fill="FFFFFF"/>
        </w:rPr>
        <w:t xml:space="preserve">Dr. L. </w:t>
      </w:r>
      <w:r>
        <w:rPr>
          <w:rFonts w:ascii="Times New Roman" w:hAnsi="Times New Roman" w:cs="Times New Roman"/>
          <w:color w:val="202124"/>
          <w:sz w:val="24"/>
          <w:szCs w:val="24"/>
          <w:shd w:val="clear" w:color="auto" w:fill="FFFFFF"/>
        </w:rPr>
        <w:t>Tibatemwa-Ekirikubinza</w:t>
      </w:r>
      <w:r w:rsidR="0017636C">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JA</w:t>
      </w:r>
    </w:p>
    <w:p w14:paraId="1474E1CD" w14:textId="024F38F5" w:rsidR="00684570" w:rsidRDefault="00684570" w:rsidP="00684570">
      <w:pPr>
        <w:spacing w:after="240" w:line="360" w:lineRule="auto"/>
        <w:rPr>
          <w:rFonts w:ascii="Times New Roman" w:eastAsia="Times New Roman" w:hAnsi="Times New Roman" w:cs="Times New Roman"/>
          <w:sz w:val="24"/>
          <w:szCs w:val="24"/>
        </w:rPr>
      </w:pPr>
      <w:bookmarkStart w:id="1" w:name="_Toc409448291"/>
      <w:r>
        <w:rPr>
          <w:rFonts w:ascii="Times New Roman" w:eastAsia="Times New Roman" w:hAnsi="Times New Roman" w:cs="Times New Roman"/>
          <w:sz w:val="24"/>
          <w:szCs w:val="24"/>
        </w:rPr>
        <w:t xml:space="preserve"> </w:t>
      </w:r>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d delivered at Ile du Port on 13 August 2021.</w:t>
      </w:r>
      <w:bookmarkEnd w:id="1"/>
    </w:p>
    <w:sectPr w:rsidR="00684570" w:rsidSect="00987977">
      <w:footerReference w:type="default" r:id="rId7"/>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5C4B5" w14:textId="77777777" w:rsidR="00320773" w:rsidRDefault="00320773" w:rsidP="006A68E2">
      <w:pPr>
        <w:spacing w:after="0" w:line="240" w:lineRule="auto"/>
      </w:pPr>
      <w:r>
        <w:separator/>
      </w:r>
    </w:p>
  </w:endnote>
  <w:endnote w:type="continuationSeparator" w:id="0">
    <w:p w14:paraId="110021C9" w14:textId="77777777" w:rsidR="00320773" w:rsidRDefault="0032077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7447BB55" w:rsidR="00E11829" w:rsidRDefault="00E11829">
        <w:pPr>
          <w:pStyle w:val="Footer"/>
          <w:jc w:val="center"/>
        </w:pPr>
        <w:r>
          <w:fldChar w:fldCharType="begin"/>
        </w:r>
        <w:r>
          <w:instrText xml:space="preserve"> PAGE   \* MERGEFORMAT </w:instrText>
        </w:r>
        <w:r>
          <w:fldChar w:fldCharType="separate"/>
        </w:r>
        <w:r w:rsidR="007A3BEC">
          <w:rPr>
            <w:noProof/>
          </w:rPr>
          <w:t>8</w:t>
        </w:r>
        <w:r>
          <w:rPr>
            <w:noProof/>
          </w:rPr>
          <w:fldChar w:fldCharType="end"/>
        </w:r>
      </w:p>
    </w:sdtContent>
  </w:sdt>
  <w:p w14:paraId="34F22166"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B6DE2" w14:textId="77777777" w:rsidR="00320773" w:rsidRDefault="00320773" w:rsidP="006A68E2">
      <w:pPr>
        <w:spacing w:after="0" w:line="240" w:lineRule="auto"/>
      </w:pPr>
      <w:r>
        <w:separator/>
      </w:r>
    </w:p>
  </w:footnote>
  <w:footnote w:type="continuationSeparator" w:id="0">
    <w:p w14:paraId="258B7328" w14:textId="77777777" w:rsidR="00320773" w:rsidRDefault="00320773"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1"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593BDA"/>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AED3D88"/>
    <w:multiLevelType w:val="hybridMultilevel"/>
    <w:tmpl w:val="C966D560"/>
    <w:lvl w:ilvl="0" w:tplc="38602CC4">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406C4"/>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7542D2"/>
    <w:multiLevelType w:val="multilevel"/>
    <w:tmpl w:val="1CC89892"/>
    <w:numStyleLink w:val="Judgments"/>
  </w:abstractNum>
  <w:abstractNum w:abstractNumId="1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91173"/>
    <w:multiLevelType w:val="hybridMultilevel"/>
    <w:tmpl w:val="2E302E00"/>
    <w:lvl w:ilvl="0" w:tplc="1D4C32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0" w15:restartNumberingAfterBreak="0">
    <w:nsid w:val="69E83183"/>
    <w:multiLevelType w:val="hybridMultilevel"/>
    <w:tmpl w:val="3CBC5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4"/>
  </w:num>
  <w:num w:numId="2">
    <w:abstractNumId w:val="10"/>
  </w:num>
  <w:num w:numId="3">
    <w:abstractNumId w:val="16"/>
  </w:num>
  <w:num w:numId="4">
    <w:abstractNumId w:val="12"/>
  </w:num>
  <w:num w:numId="5">
    <w:abstractNumId w:val="1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1"/>
  </w:num>
  <w:num w:numId="7">
    <w:abstractNumId w:val="8"/>
  </w:num>
  <w:num w:numId="8">
    <w:abstractNumId w:val="18"/>
  </w:num>
  <w:num w:numId="9">
    <w:abstractNumId w:val="3"/>
  </w:num>
  <w:num w:numId="10">
    <w:abstractNumId w:val="18"/>
  </w:num>
  <w:num w:numId="11">
    <w:abstractNumId w:val="18"/>
  </w:num>
  <w:num w:numId="12">
    <w:abstractNumId w:val="13"/>
  </w:num>
  <w:num w:numId="13">
    <w:abstractNumId w:val="22"/>
  </w:num>
  <w:num w:numId="14">
    <w:abstractNumId w:val="18"/>
    <w:lvlOverride w:ilvl="0">
      <w:startOverride w:val="1"/>
    </w:lvlOverride>
  </w:num>
  <w:num w:numId="15">
    <w:abstractNumId w:val="18"/>
  </w:num>
  <w:num w:numId="16">
    <w:abstractNumId w:val="11"/>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tTQ1MDQ1MTQxNjFV0lEKTi0uzszPAykwrAUAPhp8CiwAAAA="/>
  </w:docVars>
  <w:rsids>
    <w:rsidRoot w:val="00CC4C21"/>
    <w:rsid w:val="00015DE3"/>
    <w:rsid w:val="00025CDF"/>
    <w:rsid w:val="000301BB"/>
    <w:rsid w:val="0003054E"/>
    <w:rsid w:val="00040193"/>
    <w:rsid w:val="00050392"/>
    <w:rsid w:val="00050B7D"/>
    <w:rsid w:val="00067FCB"/>
    <w:rsid w:val="00071B84"/>
    <w:rsid w:val="00072C78"/>
    <w:rsid w:val="00081862"/>
    <w:rsid w:val="0008560D"/>
    <w:rsid w:val="000873E2"/>
    <w:rsid w:val="0009242F"/>
    <w:rsid w:val="000929A9"/>
    <w:rsid w:val="00097D19"/>
    <w:rsid w:val="000A0FCF"/>
    <w:rsid w:val="000A1F6D"/>
    <w:rsid w:val="000A3825"/>
    <w:rsid w:val="000A5E8A"/>
    <w:rsid w:val="000C0D38"/>
    <w:rsid w:val="000D6415"/>
    <w:rsid w:val="000E15DC"/>
    <w:rsid w:val="00100E58"/>
    <w:rsid w:val="00112139"/>
    <w:rsid w:val="001126AB"/>
    <w:rsid w:val="001135C2"/>
    <w:rsid w:val="00116DDC"/>
    <w:rsid w:val="001278AB"/>
    <w:rsid w:val="001428B9"/>
    <w:rsid w:val="00144C3A"/>
    <w:rsid w:val="0014564E"/>
    <w:rsid w:val="00151BF3"/>
    <w:rsid w:val="00157C6B"/>
    <w:rsid w:val="00162586"/>
    <w:rsid w:val="001723B1"/>
    <w:rsid w:val="0017636C"/>
    <w:rsid w:val="001930BC"/>
    <w:rsid w:val="00195F76"/>
    <w:rsid w:val="00196639"/>
    <w:rsid w:val="001A0CAF"/>
    <w:rsid w:val="001A3E53"/>
    <w:rsid w:val="001B0EFE"/>
    <w:rsid w:val="001C54C3"/>
    <w:rsid w:val="001C78EC"/>
    <w:rsid w:val="001D33D2"/>
    <w:rsid w:val="002015F8"/>
    <w:rsid w:val="00212006"/>
    <w:rsid w:val="0021402A"/>
    <w:rsid w:val="00214DB4"/>
    <w:rsid w:val="002207B6"/>
    <w:rsid w:val="00222CF9"/>
    <w:rsid w:val="00235626"/>
    <w:rsid w:val="00243AE1"/>
    <w:rsid w:val="00244FEB"/>
    <w:rsid w:val="00245165"/>
    <w:rsid w:val="00271C68"/>
    <w:rsid w:val="0027707F"/>
    <w:rsid w:val="00285375"/>
    <w:rsid w:val="002978B1"/>
    <w:rsid w:val="002C2D81"/>
    <w:rsid w:val="002D0DE2"/>
    <w:rsid w:val="002D3055"/>
    <w:rsid w:val="002D3458"/>
    <w:rsid w:val="002D4EB8"/>
    <w:rsid w:val="002E1B36"/>
    <w:rsid w:val="002E2AE3"/>
    <w:rsid w:val="002E2D44"/>
    <w:rsid w:val="00307BB3"/>
    <w:rsid w:val="003137B8"/>
    <w:rsid w:val="00315AA7"/>
    <w:rsid w:val="00320773"/>
    <w:rsid w:val="00344425"/>
    <w:rsid w:val="00346D7F"/>
    <w:rsid w:val="003615E7"/>
    <w:rsid w:val="0036708A"/>
    <w:rsid w:val="00373165"/>
    <w:rsid w:val="00380619"/>
    <w:rsid w:val="00385BB5"/>
    <w:rsid w:val="00391FE0"/>
    <w:rsid w:val="00392D92"/>
    <w:rsid w:val="003A5477"/>
    <w:rsid w:val="003A6C9E"/>
    <w:rsid w:val="003B3E4B"/>
    <w:rsid w:val="003C11F1"/>
    <w:rsid w:val="003E2E94"/>
    <w:rsid w:val="003E5B26"/>
    <w:rsid w:val="003F5E76"/>
    <w:rsid w:val="003F751A"/>
    <w:rsid w:val="00403F4C"/>
    <w:rsid w:val="00405958"/>
    <w:rsid w:val="00412994"/>
    <w:rsid w:val="00416353"/>
    <w:rsid w:val="00420FB5"/>
    <w:rsid w:val="004362B7"/>
    <w:rsid w:val="00453AC2"/>
    <w:rsid w:val="00463B4E"/>
    <w:rsid w:val="00466DF7"/>
    <w:rsid w:val="00472219"/>
    <w:rsid w:val="004A0A8E"/>
    <w:rsid w:val="004A2599"/>
    <w:rsid w:val="004A4C0A"/>
    <w:rsid w:val="004B7720"/>
    <w:rsid w:val="004C16E0"/>
    <w:rsid w:val="004D52DB"/>
    <w:rsid w:val="004D7477"/>
    <w:rsid w:val="004E63C8"/>
    <w:rsid w:val="00524F8B"/>
    <w:rsid w:val="005304AC"/>
    <w:rsid w:val="00544E37"/>
    <w:rsid w:val="005512AB"/>
    <w:rsid w:val="00570BC5"/>
    <w:rsid w:val="00572ED8"/>
    <w:rsid w:val="005802AC"/>
    <w:rsid w:val="0058564A"/>
    <w:rsid w:val="00597890"/>
    <w:rsid w:val="005A5FCB"/>
    <w:rsid w:val="005B12AA"/>
    <w:rsid w:val="005D3054"/>
    <w:rsid w:val="005E6FB2"/>
    <w:rsid w:val="00601509"/>
    <w:rsid w:val="00602E59"/>
    <w:rsid w:val="0060768B"/>
    <w:rsid w:val="0060782F"/>
    <w:rsid w:val="0061354A"/>
    <w:rsid w:val="00625321"/>
    <w:rsid w:val="00635504"/>
    <w:rsid w:val="00652326"/>
    <w:rsid w:val="00662CEA"/>
    <w:rsid w:val="00664E51"/>
    <w:rsid w:val="006720CF"/>
    <w:rsid w:val="00673D15"/>
    <w:rsid w:val="00673F34"/>
    <w:rsid w:val="00682172"/>
    <w:rsid w:val="00684570"/>
    <w:rsid w:val="00687181"/>
    <w:rsid w:val="00690C75"/>
    <w:rsid w:val="006A6465"/>
    <w:rsid w:val="006A68E2"/>
    <w:rsid w:val="006B7D2C"/>
    <w:rsid w:val="006C1880"/>
    <w:rsid w:val="006C30D7"/>
    <w:rsid w:val="006C5E78"/>
    <w:rsid w:val="006D305B"/>
    <w:rsid w:val="006D57EC"/>
    <w:rsid w:val="006F5ABA"/>
    <w:rsid w:val="0070371E"/>
    <w:rsid w:val="00706EB0"/>
    <w:rsid w:val="00715C55"/>
    <w:rsid w:val="00716FAC"/>
    <w:rsid w:val="0072185E"/>
    <w:rsid w:val="00722761"/>
    <w:rsid w:val="00723DED"/>
    <w:rsid w:val="00730A82"/>
    <w:rsid w:val="00733AD4"/>
    <w:rsid w:val="00736607"/>
    <w:rsid w:val="00737D0B"/>
    <w:rsid w:val="0075634D"/>
    <w:rsid w:val="00756E67"/>
    <w:rsid w:val="007637B5"/>
    <w:rsid w:val="00765901"/>
    <w:rsid w:val="007904C2"/>
    <w:rsid w:val="007925FA"/>
    <w:rsid w:val="00796B89"/>
    <w:rsid w:val="007A1E99"/>
    <w:rsid w:val="007A3BEC"/>
    <w:rsid w:val="007A5F5C"/>
    <w:rsid w:val="007A6037"/>
    <w:rsid w:val="007A6875"/>
    <w:rsid w:val="007A6F06"/>
    <w:rsid w:val="007C5E28"/>
    <w:rsid w:val="007D25FE"/>
    <w:rsid w:val="007D2B64"/>
    <w:rsid w:val="007D5C18"/>
    <w:rsid w:val="007D72AE"/>
    <w:rsid w:val="008001C8"/>
    <w:rsid w:val="0081101D"/>
    <w:rsid w:val="00813B26"/>
    <w:rsid w:val="00815764"/>
    <w:rsid w:val="008208F8"/>
    <w:rsid w:val="008252B1"/>
    <w:rsid w:val="00841774"/>
    <w:rsid w:val="008577B7"/>
    <w:rsid w:val="0086154B"/>
    <w:rsid w:val="00863627"/>
    <w:rsid w:val="00877F00"/>
    <w:rsid w:val="008817F2"/>
    <w:rsid w:val="008821CA"/>
    <w:rsid w:val="00890F42"/>
    <w:rsid w:val="008A00BC"/>
    <w:rsid w:val="008B23BB"/>
    <w:rsid w:val="008D714D"/>
    <w:rsid w:val="008E4240"/>
    <w:rsid w:val="008E771B"/>
    <w:rsid w:val="008F09EA"/>
    <w:rsid w:val="00907773"/>
    <w:rsid w:val="00921C70"/>
    <w:rsid w:val="0092595F"/>
    <w:rsid w:val="00932D76"/>
    <w:rsid w:val="009501E8"/>
    <w:rsid w:val="00952714"/>
    <w:rsid w:val="009539C2"/>
    <w:rsid w:val="00983AAA"/>
    <w:rsid w:val="00987977"/>
    <w:rsid w:val="009A3363"/>
    <w:rsid w:val="009A34F7"/>
    <w:rsid w:val="009A7688"/>
    <w:rsid w:val="009A769C"/>
    <w:rsid w:val="009B3EAA"/>
    <w:rsid w:val="009B495E"/>
    <w:rsid w:val="009B65F3"/>
    <w:rsid w:val="009F08EA"/>
    <w:rsid w:val="009F125D"/>
    <w:rsid w:val="009F73C2"/>
    <w:rsid w:val="00A0256C"/>
    <w:rsid w:val="00A04F30"/>
    <w:rsid w:val="00A102D5"/>
    <w:rsid w:val="00A163BC"/>
    <w:rsid w:val="00A1750E"/>
    <w:rsid w:val="00A2058F"/>
    <w:rsid w:val="00A22E70"/>
    <w:rsid w:val="00A24F6C"/>
    <w:rsid w:val="00A25856"/>
    <w:rsid w:val="00A25BCD"/>
    <w:rsid w:val="00A266BE"/>
    <w:rsid w:val="00A34979"/>
    <w:rsid w:val="00A43E6C"/>
    <w:rsid w:val="00A91113"/>
    <w:rsid w:val="00AB3BD4"/>
    <w:rsid w:val="00AC497D"/>
    <w:rsid w:val="00AC65DC"/>
    <w:rsid w:val="00AE439F"/>
    <w:rsid w:val="00B03209"/>
    <w:rsid w:val="00B12881"/>
    <w:rsid w:val="00B27885"/>
    <w:rsid w:val="00B4754A"/>
    <w:rsid w:val="00B5371D"/>
    <w:rsid w:val="00B53FB6"/>
    <w:rsid w:val="00B567C4"/>
    <w:rsid w:val="00B6660F"/>
    <w:rsid w:val="00B674A4"/>
    <w:rsid w:val="00B81E71"/>
    <w:rsid w:val="00B837E4"/>
    <w:rsid w:val="00B8383A"/>
    <w:rsid w:val="00B843CF"/>
    <w:rsid w:val="00B87082"/>
    <w:rsid w:val="00B921CA"/>
    <w:rsid w:val="00B9220E"/>
    <w:rsid w:val="00B950DF"/>
    <w:rsid w:val="00B96055"/>
    <w:rsid w:val="00BA1EA5"/>
    <w:rsid w:val="00BA5383"/>
    <w:rsid w:val="00BB1A3E"/>
    <w:rsid w:val="00BC3E1E"/>
    <w:rsid w:val="00BC73B1"/>
    <w:rsid w:val="00BE0813"/>
    <w:rsid w:val="00BE3EC0"/>
    <w:rsid w:val="00BF06E3"/>
    <w:rsid w:val="00BF6167"/>
    <w:rsid w:val="00C03BF2"/>
    <w:rsid w:val="00C057B3"/>
    <w:rsid w:val="00C243E8"/>
    <w:rsid w:val="00C2466E"/>
    <w:rsid w:val="00C645D9"/>
    <w:rsid w:val="00C65D1E"/>
    <w:rsid w:val="00C660F0"/>
    <w:rsid w:val="00C713FA"/>
    <w:rsid w:val="00C94537"/>
    <w:rsid w:val="00CA2B2E"/>
    <w:rsid w:val="00CC0848"/>
    <w:rsid w:val="00CC437E"/>
    <w:rsid w:val="00CC4C21"/>
    <w:rsid w:val="00CC7975"/>
    <w:rsid w:val="00CD09C7"/>
    <w:rsid w:val="00CD67A5"/>
    <w:rsid w:val="00CD7565"/>
    <w:rsid w:val="00D01A26"/>
    <w:rsid w:val="00D2005C"/>
    <w:rsid w:val="00D22F07"/>
    <w:rsid w:val="00D31F1B"/>
    <w:rsid w:val="00D33DBF"/>
    <w:rsid w:val="00D44341"/>
    <w:rsid w:val="00D710E7"/>
    <w:rsid w:val="00D75FFC"/>
    <w:rsid w:val="00D82483"/>
    <w:rsid w:val="00D8338F"/>
    <w:rsid w:val="00DA28D0"/>
    <w:rsid w:val="00DC22F5"/>
    <w:rsid w:val="00DC5C7F"/>
    <w:rsid w:val="00DD0855"/>
    <w:rsid w:val="00DD1F51"/>
    <w:rsid w:val="00E11829"/>
    <w:rsid w:val="00E1659A"/>
    <w:rsid w:val="00E32520"/>
    <w:rsid w:val="00E409F3"/>
    <w:rsid w:val="00E45519"/>
    <w:rsid w:val="00E5501F"/>
    <w:rsid w:val="00E65F6A"/>
    <w:rsid w:val="00E82C79"/>
    <w:rsid w:val="00E868F3"/>
    <w:rsid w:val="00E9769A"/>
    <w:rsid w:val="00EA4875"/>
    <w:rsid w:val="00EA6048"/>
    <w:rsid w:val="00EC0DF2"/>
    <w:rsid w:val="00EC2665"/>
    <w:rsid w:val="00ED0BFC"/>
    <w:rsid w:val="00ED4BAF"/>
    <w:rsid w:val="00EE0020"/>
    <w:rsid w:val="00EF13E2"/>
    <w:rsid w:val="00EF6D79"/>
    <w:rsid w:val="00F11205"/>
    <w:rsid w:val="00F24182"/>
    <w:rsid w:val="00F33B83"/>
    <w:rsid w:val="00F35EE5"/>
    <w:rsid w:val="00F43258"/>
    <w:rsid w:val="00F6715B"/>
    <w:rsid w:val="00F67C42"/>
    <w:rsid w:val="00F900E0"/>
    <w:rsid w:val="00F93864"/>
    <w:rsid w:val="00FB2DA9"/>
    <w:rsid w:val="00FC174B"/>
    <w:rsid w:val="00FD1BC6"/>
    <w:rsid w:val="00FD4B0D"/>
    <w:rsid w:val="00FF1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7</cp:revision>
  <cp:lastPrinted>2021-08-17T08:52:00Z</cp:lastPrinted>
  <dcterms:created xsi:type="dcterms:W3CDTF">2021-08-10T13:19:00Z</dcterms:created>
  <dcterms:modified xsi:type="dcterms:W3CDTF">2021-08-17T08:53:00Z</dcterms:modified>
</cp:coreProperties>
</file>